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38" w:rsidRPr="00964DA1" w:rsidRDefault="00787F38" w:rsidP="005B780A">
      <w:pPr>
        <w:spacing w:after="0" w:line="360" w:lineRule="auto"/>
        <w:jc w:val="center"/>
        <w:rPr>
          <w:rFonts w:ascii="Times New Roman" w:hAnsi="Times New Roman"/>
          <w:b/>
          <w:sz w:val="24"/>
          <w:szCs w:val="24"/>
        </w:rPr>
      </w:pPr>
      <w:r w:rsidRPr="00964DA1">
        <w:rPr>
          <w:rFonts w:ascii="Times New Roman" w:hAnsi="Times New Roman"/>
          <w:b/>
          <w:sz w:val="24"/>
          <w:szCs w:val="24"/>
        </w:rPr>
        <w:t xml:space="preserve">Отчет за дейността на Министерството на регионалното развитие и благоустройството от м. ноември 2014 г. до </w:t>
      </w:r>
      <w:r w:rsidRPr="00C83358">
        <w:rPr>
          <w:rFonts w:ascii="Times New Roman" w:hAnsi="Times New Roman"/>
          <w:b/>
          <w:sz w:val="24"/>
          <w:szCs w:val="24"/>
        </w:rPr>
        <w:t>м.</w:t>
      </w:r>
      <w:r>
        <w:rPr>
          <w:rFonts w:ascii="Times New Roman" w:hAnsi="Times New Roman"/>
          <w:b/>
          <w:sz w:val="24"/>
          <w:szCs w:val="24"/>
        </w:rPr>
        <w:t xml:space="preserve"> януари</w:t>
      </w:r>
      <w:r w:rsidRPr="00C83358">
        <w:rPr>
          <w:rFonts w:ascii="Times New Roman" w:hAnsi="Times New Roman"/>
          <w:b/>
          <w:sz w:val="24"/>
          <w:szCs w:val="24"/>
        </w:rPr>
        <w:t xml:space="preserve"> 201</w:t>
      </w:r>
      <w:r>
        <w:rPr>
          <w:rFonts w:ascii="Times New Roman" w:hAnsi="Times New Roman"/>
          <w:b/>
          <w:sz w:val="24"/>
          <w:szCs w:val="24"/>
        </w:rPr>
        <w:t>7</w:t>
      </w:r>
      <w:r w:rsidRPr="00C83358">
        <w:rPr>
          <w:rFonts w:ascii="Times New Roman" w:hAnsi="Times New Roman"/>
          <w:b/>
          <w:sz w:val="24"/>
          <w:szCs w:val="24"/>
        </w:rPr>
        <w:t xml:space="preserve"> г.</w:t>
      </w:r>
    </w:p>
    <w:p w:rsidR="00787F38" w:rsidRPr="00964DA1" w:rsidRDefault="00787F38" w:rsidP="007C22C2">
      <w:pPr>
        <w:spacing w:after="0" w:line="360" w:lineRule="auto"/>
        <w:rPr>
          <w:rFonts w:ascii="Times New Roman" w:hAnsi="Times New Roman"/>
          <w:b/>
          <w:sz w:val="24"/>
          <w:szCs w:val="24"/>
        </w:rPr>
      </w:pPr>
    </w:p>
    <w:p w:rsidR="00787F38" w:rsidRPr="00964DA1" w:rsidRDefault="00787F38" w:rsidP="007C22C2">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sz w:val="24"/>
          <w:szCs w:val="24"/>
        </w:rPr>
      </w:pPr>
      <w:r w:rsidRPr="00964DA1">
        <w:rPr>
          <w:rFonts w:ascii="Times New Roman" w:hAnsi="Times New Roman"/>
          <w:b/>
          <w:sz w:val="24"/>
          <w:szCs w:val="24"/>
        </w:rPr>
        <w:t>Пътна инфраструктура</w:t>
      </w:r>
    </w:p>
    <w:p w:rsidR="00787F38" w:rsidRPr="00964DA1" w:rsidRDefault="00787F38" w:rsidP="007C22C2">
      <w:pPr>
        <w:pStyle w:val="ListParagraph"/>
        <w:spacing w:after="0" w:line="360" w:lineRule="auto"/>
        <w:jc w:val="both"/>
        <w:rPr>
          <w:rFonts w:ascii="Times New Roman" w:hAnsi="Times New Roman"/>
          <w:sz w:val="24"/>
          <w:szCs w:val="24"/>
        </w:rPr>
      </w:pPr>
    </w:p>
    <w:p w:rsidR="00787F38" w:rsidRPr="00964DA1" w:rsidRDefault="00787F38" w:rsidP="007C22C2">
      <w:pPr>
        <w:spacing w:after="0" w:line="360" w:lineRule="auto"/>
        <w:ind w:firstLine="708"/>
        <w:jc w:val="both"/>
        <w:rPr>
          <w:rFonts w:ascii="Times New Roman" w:hAnsi="Times New Roman"/>
          <w:sz w:val="24"/>
          <w:szCs w:val="24"/>
        </w:rPr>
      </w:pPr>
      <w:r w:rsidRPr="00964DA1">
        <w:rPr>
          <w:rFonts w:ascii="Times New Roman" w:hAnsi="Times New Roman"/>
          <w:b/>
          <w:sz w:val="24"/>
          <w:szCs w:val="24"/>
        </w:rPr>
        <w:t>В рамките на двегодишния период</w:t>
      </w:r>
      <w:r>
        <w:rPr>
          <w:rFonts w:ascii="Times New Roman" w:hAnsi="Times New Roman"/>
          <w:b/>
          <w:sz w:val="24"/>
          <w:szCs w:val="24"/>
        </w:rPr>
        <w:t xml:space="preserve"> на</w:t>
      </w:r>
      <w:r w:rsidRPr="00964DA1">
        <w:rPr>
          <w:rFonts w:ascii="Times New Roman" w:hAnsi="Times New Roman"/>
          <w:b/>
          <w:sz w:val="24"/>
          <w:szCs w:val="24"/>
        </w:rPr>
        <w:t xml:space="preserve"> управление</w:t>
      </w:r>
      <w:r>
        <w:rPr>
          <w:rFonts w:ascii="Times New Roman" w:hAnsi="Times New Roman"/>
          <w:b/>
          <w:sz w:val="24"/>
          <w:szCs w:val="24"/>
        </w:rPr>
        <w:t xml:space="preserve"> на </w:t>
      </w:r>
      <w:r w:rsidRPr="00964DA1">
        <w:rPr>
          <w:rFonts w:ascii="Times New Roman" w:hAnsi="Times New Roman"/>
          <w:b/>
          <w:sz w:val="24"/>
          <w:szCs w:val="24"/>
        </w:rPr>
        <w:t>правителството</w:t>
      </w:r>
      <w:r>
        <w:rPr>
          <w:rFonts w:ascii="Times New Roman" w:hAnsi="Times New Roman"/>
          <w:b/>
          <w:sz w:val="24"/>
          <w:szCs w:val="24"/>
        </w:rPr>
        <w:t xml:space="preserve"> беше завършено</w:t>
      </w:r>
      <w:r w:rsidRPr="00964DA1">
        <w:rPr>
          <w:rFonts w:ascii="Times New Roman" w:hAnsi="Times New Roman"/>
          <w:b/>
          <w:sz w:val="24"/>
          <w:szCs w:val="24"/>
        </w:rPr>
        <w:t xml:space="preserve"> строителството на над</w:t>
      </w:r>
      <w:r w:rsidRPr="00964DA1">
        <w:rPr>
          <w:rFonts w:ascii="Times New Roman" w:hAnsi="Times New Roman"/>
          <w:sz w:val="24"/>
          <w:szCs w:val="24"/>
        </w:rPr>
        <w:t xml:space="preserve"> </w:t>
      </w:r>
      <w:r w:rsidRPr="00964DA1">
        <w:rPr>
          <w:rFonts w:ascii="Times New Roman" w:hAnsi="Times New Roman"/>
          <w:b/>
          <w:sz w:val="24"/>
          <w:szCs w:val="24"/>
        </w:rPr>
        <w:t>140 км нови автомагистрални участъци и близо 90 км първокласни и второкласни пътища</w:t>
      </w:r>
      <w:r w:rsidRPr="00964DA1">
        <w:rPr>
          <w:rFonts w:ascii="Times New Roman" w:hAnsi="Times New Roman"/>
          <w:sz w:val="24"/>
          <w:szCs w:val="24"/>
        </w:rPr>
        <w:t xml:space="preserve"> (по които са разплатени средства общо за 2015 и 2016 г. </w:t>
      </w:r>
      <w:r>
        <w:rPr>
          <w:rFonts w:ascii="Times New Roman" w:hAnsi="Times New Roman"/>
          <w:sz w:val="24"/>
          <w:szCs w:val="24"/>
        </w:rPr>
        <w:t xml:space="preserve">от </w:t>
      </w:r>
      <w:r w:rsidRPr="00964DA1">
        <w:rPr>
          <w:rFonts w:ascii="Times New Roman" w:hAnsi="Times New Roman"/>
          <w:sz w:val="24"/>
          <w:szCs w:val="24"/>
        </w:rPr>
        <w:t>над  820 млн. лв.):</w:t>
      </w:r>
    </w:p>
    <w:p w:rsidR="00787F38" w:rsidRPr="00964DA1" w:rsidRDefault="00787F38" w:rsidP="007C22C2">
      <w:pPr>
        <w:pStyle w:val="ListParagraph"/>
        <w:numPr>
          <w:ilvl w:val="0"/>
          <w:numId w:val="22"/>
        </w:numPr>
        <w:spacing w:after="0" w:line="360" w:lineRule="auto"/>
        <w:jc w:val="both"/>
        <w:rPr>
          <w:rFonts w:ascii="Times New Roman" w:hAnsi="Times New Roman"/>
          <w:sz w:val="24"/>
          <w:szCs w:val="24"/>
        </w:rPr>
      </w:pPr>
      <w:r w:rsidRPr="00964DA1">
        <w:rPr>
          <w:rFonts w:ascii="Times New Roman" w:hAnsi="Times New Roman"/>
          <w:sz w:val="24"/>
          <w:szCs w:val="24"/>
        </w:rPr>
        <w:t>Северна скоростна тангента с дължина 16 км</w:t>
      </w:r>
    </w:p>
    <w:p w:rsidR="00787F38" w:rsidRPr="00964DA1" w:rsidRDefault="00787F38" w:rsidP="007C22C2">
      <w:pPr>
        <w:pStyle w:val="ListParagraph"/>
        <w:numPr>
          <w:ilvl w:val="0"/>
          <w:numId w:val="22"/>
        </w:numPr>
        <w:spacing w:after="0" w:line="360" w:lineRule="auto"/>
        <w:jc w:val="both"/>
        <w:rPr>
          <w:rFonts w:ascii="Times New Roman" w:hAnsi="Times New Roman"/>
          <w:sz w:val="24"/>
          <w:szCs w:val="24"/>
        </w:rPr>
      </w:pPr>
      <w:r w:rsidRPr="00964DA1">
        <w:rPr>
          <w:rFonts w:ascii="Times New Roman" w:hAnsi="Times New Roman"/>
          <w:sz w:val="24"/>
          <w:szCs w:val="24"/>
        </w:rPr>
        <w:t>Цялата автомагистрала „Марица“ – 66 км</w:t>
      </w:r>
    </w:p>
    <w:p w:rsidR="00787F38" w:rsidRPr="00964DA1" w:rsidRDefault="00787F38" w:rsidP="007C22C2">
      <w:pPr>
        <w:pStyle w:val="ListParagraph"/>
        <w:numPr>
          <w:ilvl w:val="0"/>
          <w:numId w:val="22"/>
        </w:numPr>
        <w:spacing w:after="0" w:line="360" w:lineRule="auto"/>
        <w:jc w:val="both"/>
        <w:rPr>
          <w:rFonts w:ascii="Times New Roman" w:hAnsi="Times New Roman"/>
          <w:sz w:val="24"/>
          <w:szCs w:val="24"/>
        </w:rPr>
      </w:pPr>
      <w:r w:rsidRPr="00964DA1">
        <w:rPr>
          <w:rFonts w:ascii="Times New Roman" w:hAnsi="Times New Roman"/>
          <w:sz w:val="24"/>
          <w:szCs w:val="24"/>
        </w:rPr>
        <w:t>Автомагистрала „Струма“, Лот 2 и Лот 4 – 52 км</w:t>
      </w:r>
    </w:p>
    <w:p w:rsidR="00787F38" w:rsidRPr="00964DA1" w:rsidRDefault="00787F38" w:rsidP="007C22C2">
      <w:pPr>
        <w:pStyle w:val="ListParagraph"/>
        <w:numPr>
          <w:ilvl w:val="0"/>
          <w:numId w:val="22"/>
        </w:numPr>
        <w:spacing w:after="0" w:line="360" w:lineRule="auto"/>
        <w:jc w:val="both"/>
        <w:rPr>
          <w:rFonts w:ascii="Times New Roman" w:hAnsi="Times New Roman"/>
          <w:sz w:val="24"/>
          <w:szCs w:val="24"/>
        </w:rPr>
      </w:pPr>
      <w:r w:rsidRPr="00964DA1">
        <w:rPr>
          <w:rFonts w:ascii="Times New Roman" w:hAnsi="Times New Roman"/>
          <w:sz w:val="24"/>
          <w:szCs w:val="24"/>
        </w:rPr>
        <w:t xml:space="preserve">Изградена беше трилентовата връзка между автомагистрала „Струма“ и ГКПП </w:t>
      </w:r>
      <w:r>
        <w:rPr>
          <w:rFonts w:ascii="Times New Roman" w:hAnsi="Times New Roman"/>
          <w:sz w:val="24"/>
          <w:szCs w:val="24"/>
        </w:rPr>
        <w:t>„</w:t>
      </w:r>
      <w:r w:rsidRPr="00964DA1">
        <w:rPr>
          <w:rFonts w:ascii="Times New Roman" w:hAnsi="Times New Roman"/>
          <w:sz w:val="24"/>
          <w:szCs w:val="24"/>
        </w:rPr>
        <w:t>Кулата</w:t>
      </w:r>
      <w:r>
        <w:rPr>
          <w:rFonts w:ascii="Times New Roman" w:hAnsi="Times New Roman"/>
          <w:sz w:val="24"/>
          <w:szCs w:val="24"/>
        </w:rPr>
        <w:t>“</w:t>
      </w:r>
      <w:r w:rsidRPr="00964DA1">
        <w:rPr>
          <w:rFonts w:ascii="Times New Roman" w:hAnsi="Times New Roman"/>
          <w:sz w:val="24"/>
          <w:szCs w:val="24"/>
        </w:rPr>
        <w:t xml:space="preserve"> - 1,3 км</w:t>
      </w:r>
    </w:p>
    <w:p w:rsidR="00787F38" w:rsidRPr="00964DA1" w:rsidRDefault="00787F38" w:rsidP="007C22C2">
      <w:pPr>
        <w:pStyle w:val="ListParagraph"/>
        <w:numPr>
          <w:ilvl w:val="0"/>
          <w:numId w:val="22"/>
        </w:numPr>
        <w:spacing w:after="0" w:line="360" w:lineRule="auto"/>
        <w:jc w:val="both"/>
        <w:rPr>
          <w:rFonts w:ascii="Times New Roman" w:hAnsi="Times New Roman"/>
          <w:sz w:val="24"/>
          <w:szCs w:val="24"/>
        </w:rPr>
      </w:pPr>
      <w:r w:rsidRPr="00964DA1">
        <w:rPr>
          <w:rFonts w:ascii="Times New Roman" w:hAnsi="Times New Roman"/>
          <w:sz w:val="24"/>
          <w:szCs w:val="24"/>
        </w:rPr>
        <w:t>Автомагистрала „Хемус“ /пътен възел „Белокопитово“/ - 5 км</w:t>
      </w:r>
    </w:p>
    <w:p w:rsidR="00787F38" w:rsidRPr="00964DA1" w:rsidRDefault="00787F38" w:rsidP="007C22C2">
      <w:pPr>
        <w:pStyle w:val="ListParagraph"/>
        <w:numPr>
          <w:ilvl w:val="0"/>
          <w:numId w:val="22"/>
        </w:numPr>
        <w:spacing w:after="0" w:line="360" w:lineRule="auto"/>
        <w:jc w:val="both"/>
        <w:rPr>
          <w:rFonts w:ascii="Times New Roman" w:hAnsi="Times New Roman"/>
          <w:sz w:val="24"/>
          <w:szCs w:val="24"/>
        </w:rPr>
      </w:pPr>
      <w:r w:rsidRPr="00964DA1">
        <w:rPr>
          <w:rFonts w:ascii="Times New Roman" w:hAnsi="Times New Roman"/>
          <w:sz w:val="24"/>
          <w:szCs w:val="24"/>
        </w:rPr>
        <w:t>Автомагистрала „Марица“ – връзките при пътен възел "Оризово" при пресичането с автомагистрала "Тракия" и новото дясно платно между гр.Свиленград и Капитан Андреево, с обща дължина 9 км.</w:t>
      </w:r>
    </w:p>
    <w:p w:rsidR="00787F38" w:rsidRPr="00964DA1" w:rsidRDefault="00787F38" w:rsidP="007C22C2">
      <w:pPr>
        <w:pStyle w:val="ListParagraph"/>
        <w:numPr>
          <w:ilvl w:val="0"/>
          <w:numId w:val="22"/>
        </w:numPr>
        <w:spacing w:after="0" w:line="360" w:lineRule="auto"/>
        <w:jc w:val="both"/>
        <w:rPr>
          <w:rFonts w:ascii="Times New Roman" w:hAnsi="Times New Roman"/>
          <w:sz w:val="24"/>
          <w:szCs w:val="24"/>
        </w:rPr>
      </w:pPr>
      <w:r w:rsidRPr="00964DA1">
        <w:rPr>
          <w:rFonts w:ascii="Times New Roman" w:hAnsi="Times New Roman"/>
          <w:sz w:val="24"/>
          <w:szCs w:val="24"/>
        </w:rPr>
        <w:t>Автомагистрала „Калотина – София“, Лот 1, Западна дъга на Софийския околовръстен път (участъци 1 и 2 ) – 9 км</w:t>
      </w:r>
    </w:p>
    <w:p w:rsidR="00787F38" w:rsidRPr="00964DA1" w:rsidRDefault="00787F38" w:rsidP="007C22C2">
      <w:pPr>
        <w:pStyle w:val="ListParagraph"/>
        <w:numPr>
          <w:ilvl w:val="0"/>
          <w:numId w:val="22"/>
        </w:numPr>
        <w:spacing w:after="0" w:line="360" w:lineRule="auto"/>
        <w:jc w:val="both"/>
        <w:rPr>
          <w:rFonts w:ascii="Times New Roman" w:hAnsi="Times New Roman"/>
          <w:sz w:val="24"/>
          <w:szCs w:val="24"/>
        </w:rPr>
      </w:pPr>
      <w:r w:rsidRPr="00964DA1">
        <w:rPr>
          <w:rFonts w:ascii="Times New Roman" w:hAnsi="Times New Roman"/>
          <w:sz w:val="24"/>
          <w:szCs w:val="24"/>
        </w:rPr>
        <w:t>Обход на гр. Монтана – 23 км</w:t>
      </w:r>
    </w:p>
    <w:p w:rsidR="00787F38" w:rsidRPr="00964DA1" w:rsidRDefault="00787F38" w:rsidP="007C22C2">
      <w:pPr>
        <w:pStyle w:val="ListParagraph"/>
        <w:numPr>
          <w:ilvl w:val="0"/>
          <w:numId w:val="22"/>
        </w:numPr>
        <w:spacing w:after="0" w:line="360" w:lineRule="auto"/>
        <w:jc w:val="both"/>
        <w:rPr>
          <w:rFonts w:ascii="Times New Roman" w:hAnsi="Times New Roman"/>
          <w:sz w:val="24"/>
          <w:szCs w:val="24"/>
        </w:rPr>
      </w:pPr>
      <w:r w:rsidRPr="00964DA1">
        <w:rPr>
          <w:rFonts w:ascii="Times New Roman" w:hAnsi="Times New Roman"/>
          <w:sz w:val="24"/>
          <w:szCs w:val="24"/>
        </w:rPr>
        <w:t>Път Е-85 (I-5) „Кърджали - Подкова“ и пътна връзка „Фотиново“ - 34 км</w:t>
      </w:r>
    </w:p>
    <w:p w:rsidR="00787F38" w:rsidRPr="006340A5" w:rsidRDefault="00787F38" w:rsidP="007C22C2">
      <w:pPr>
        <w:pStyle w:val="ListParagraph"/>
        <w:numPr>
          <w:ilvl w:val="0"/>
          <w:numId w:val="22"/>
        </w:numPr>
        <w:spacing w:after="0" w:line="360" w:lineRule="auto"/>
        <w:jc w:val="both"/>
        <w:rPr>
          <w:rFonts w:ascii="Times New Roman" w:hAnsi="Times New Roman"/>
          <w:sz w:val="24"/>
          <w:szCs w:val="24"/>
        </w:rPr>
      </w:pPr>
      <w:r w:rsidRPr="00964DA1">
        <w:rPr>
          <w:rFonts w:ascii="Times New Roman" w:hAnsi="Times New Roman"/>
          <w:sz w:val="24"/>
          <w:szCs w:val="24"/>
        </w:rPr>
        <w:t xml:space="preserve">Обход на гр. </w:t>
      </w:r>
      <w:r>
        <w:rPr>
          <w:rFonts w:ascii="Times New Roman" w:hAnsi="Times New Roman"/>
          <w:sz w:val="24"/>
          <w:szCs w:val="24"/>
        </w:rPr>
        <w:t>Габрово, етап I, с дължина 8 км</w:t>
      </w:r>
    </w:p>
    <w:p w:rsidR="00787F38" w:rsidRPr="006340A5" w:rsidRDefault="00787F38" w:rsidP="006340A5">
      <w:pPr>
        <w:pStyle w:val="ListParagraph"/>
        <w:numPr>
          <w:ilvl w:val="0"/>
          <w:numId w:val="22"/>
        </w:numPr>
        <w:rPr>
          <w:rFonts w:ascii="Times New Roman" w:hAnsi="Times New Roman"/>
          <w:sz w:val="24"/>
          <w:szCs w:val="24"/>
        </w:rPr>
      </w:pPr>
      <w:r w:rsidRPr="006340A5">
        <w:rPr>
          <w:rFonts w:ascii="Times New Roman" w:hAnsi="Times New Roman"/>
          <w:sz w:val="24"/>
          <w:szCs w:val="24"/>
        </w:rPr>
        <w:t xml:space="preserve">Главна пътна комуникация гр. Смолян – 3,65 км </w:t>
      </w:r>
    </w:p>
    <w:p w:rsidR="00787F38" w:rsidRPr="00CF3C80" w:rsidRDefault="00787F38" w:rsidP="007C22C2">
      <w:pPr>
        <w:spacing w:after="0" w:line="360" w:lineRule="auto"/>
        <w:ind w:firstLine="708"/>
        <w:jc w:val="both"/>
        <w:rPr>
          <w:rFonts w:ascii="Times New Roman" w:hAnsi="Times New Roman"/>
          <w:b/>
          <w:sz w:val="24"/>
          <w:szCs w:val="24"/>
          <w:lang w:val="ru-RU"/>
        </w:rPr>
      </w:pPr>
    </w:p>
    <w:p w:rsidR="00787F38" w:rsidRPr="00964DA1" w:rsidRDefault="00787F38" w:rsidP="007C22C2">
      <w:pPr>
        <w:spacing w:after="0" w:line="360" w:lineRule="auto"/>
        <w:ind w:firstLine="708"/>
        <w:jc w:val="both"/>
        <w:rPr>
          <w:rFonts w:ascii="Times New Roman" w:hAnsi="Times New Roman"/>
          <w:b/>
          <w:sz w:val="24"/>
          <w:szCs w:val="24"/>
        </w:rPr>
      </w:pPr>
      <w:r w:rsidRPr="00964DA1">
        <w:rPr>
          <w:rFonts w:ascii="Times New Roman" w:hAnsi="Times New Roman"/>
          <w:b/>
          <w:sz w:val="24"/>
          <w:szCs w:val="24"/>
        </w:rPr>
        <w:t>Приоритети в процес на изпълнение с обща дължина 340 км:</w:t>
      </w:r>
    </w:p>
    <w:p w:rsidR="00787F38" w:rsidRPr="00964DA1" w:rsidRDefault="00787F38" w:rsidP="007C22C2">
      <w:pPr>
        <w:spacing w:after="0" w:line="360" w:lineRule="auto"/>
        <w:ind w:firstLine="708"/>
        <w:jc w:val="both"/>
        <w:rPr>
          <w:rFonts w:ascii="Times New Roman" w:hAnsi="Times New Roman"/>
          <w:b/>
          <w:sz w:val="24"/>
          <w:szCs w:val="24"/>
        </w:rPr>
      </w:pPr>
    </w:p>
    <w:p w:rsidR="00787F38" w:rsidRPr="00964DA1" w:rsidRDefault="00787F38" w:rsidP="007C22C2">
      <w:pPr>
        <w:spacing w:after="0" w:line="360" w:lineRule="auto"/>
        <w:ind w:firstLine="708"/>
        <w:jc w:val="both"/>
        <w:rPr>
          <w:rFonts w:ascii="Times New Roman" w:hAnsi="Times New Roman"/>
          <w:b/>
          <w:sz w:val="24"/>
          <w:szCs w:val="24"/>
        </w:rPr>
      </w:pPr>
      <w:r w:rsidRPr="00964DA1">
        <w:rPr>
          <w:rFonts w:ascii="Times New Roman" w:hAnsi="Times New Roman"/>
          <w:b/>
          <w:sz w:val="24"/>
          <w:szCs w:val="24"/>
        </w:rPr>
        <w:t>Автомагистрала „Хемус“</w:t>
      </w:r>
    </w:p>
    <w:p w:rsidR="00787F38" w:rsidRPr="00964DA1" w:rsidRDefault="00787F38" w:rsidP="007C22C2">
      <w:pPr>
        <w:spacing w:after="0" w:line="360" w:lineRule="auto"/>
        <w:ind w:firstLine="708"/>
        <w:jc w:val="both"/>
        <w:rPr>
          <w:rFonts w:ascii="Times New Roman" w:hAnsi="Times New Roman"/>
          <w:sz w:val="24"/>
          <w:szCs w:val="24"/>
        </w:rPr>
      </w:pPr>
      <w:r w:rsidRPr="00964DA1">
        <w:rPr>
          <w:rFonts w:ascii="Times New Roman" w:hAnsi="Times New Roman"/>
          <w:sz w:val="24"/>
          <w:szCs w:val="24"/>
        </w:rPr>
        <w:t xml:space="preserve">Основен приоритет в програмата на правителството е изграждането на автомагистрала „Хемус“. Продължават активните дейности по изграждане на недовършените участъци. Обявени са две процедури по Закона за обществените поръчки (ЗОП) за избор на изпълнители за проектиране, строителство и консултантски услуги за два участъка с обща дължина 28 км – от Ябланица до Боаза и от пътен възел </w:t>
      </w:r>
      <w:r w:rsidRPr="00964DA1">
        <w:rPr>
          <w:rFonts w:ascii="Times New Roman" w:hAnsi="Times New Roman"/>
          <w:sz w:val="24"/>
          <w:szCs w:val="24"/>
        </w:rPr>
        <w:lastRenderedPageBreak/>
        <w:t xml:space="preserve">„Белокопитово“ до пътен възел „Буховци“. </w:t>
      </w:r>
      <w:r w:rsidRPr="006340A5">
        <w:rPr>
          <w:rFonts w:ascii="Times New Roman" w:hAnsi="Times New Roman"/>
          <w:sz w:val="24"/>
          <w:szCs w:val="24"/>
        </w:rPr>
        <w:t xml:space="preserve">Избран е изпълнител за проектирането и строителството на участъка от Ябланица до Боаза. </w:t>
      </w:r>
      <w:r w:rsidRPr="00964DA1">
        <w:rPr>
          <w:rFonts w:ascii="Times New Roman" w:hAnsi="Times New Roman"/>
          <w:sz w:val="24"/>
          <w:szCs w:val="24"/>
        </w:rPr>
        <w:t>Възложено е препроектиране и избор на трасе за още 50 км от автомагистралата от пътен възел „Ловеч“ до гр. Велико Търново.</w:t>
      </w:r>
    </w:p>
    <w:p w:rsidR="00787F38" w:rsidRPr="00964DA1" w:rsidRDefault="00787F38" w:rsidP="007C22C2">
      <w:pPr>
        <w:spacing w:after="0" w:line="360" w:lineRule="auto"/>
        <w:ind w:firstLine="708"/>
        <w:jc w:val="both"/>
        <w:rPr>
          <w:rFonts w:ascii="Times New Roman" w:hAnsi="Times New Roman"/>
          <w:sz w:val="24"/>
          <w:szCs w:val="24"/>
        </w:rPr>
      </w:pPr>
    </w:p>
    <w:p w:rsidR="00787F38" w:rsidRPr="00964DA1" w:rsidRDefault="00787F38" w:rsidP="007C22C2">
      <w:pPr>
        <w:spacing w:after="0" w:line="360" w:lineRule="auto"/>
        <w:ind w:firstLine="708"/>
        <w:jc w:val="both"/>
        <w:rPr>
          <w:rFonts w:ascii="Times New Roman" w:hAnsi="Times New Roman"/>
          <w:b/>
          <w:sz w:val="24"/>
          <w:szCs w:val="24"/>
        </w:rPr>
      </w:pPr>
      <w:r w:rsidRPr="00964DA1">
        <w:rPr>
          <w:rFonts w:ascii="Times New Roman" w:hAnsi="Times New Roman"/>
          <w:b/>
          <w:sz w:val="24"/>
          <w:szCs w:val="24"/>
        </w:rPr>
        <w:t>Автомагистрала „Струма“</w:t>
      </w:r>
    </w:p>
    <w:p w:rsidR="00787F38" w:rsidRPr="00964DA1" w:rsidRDefault="00787F38" w:rsidP="007C22C2">
      <w:pPr>
        <w:spacing w:after="0" w:line="360" w:lineRule="auto"/>
        <w:ind w:firstLine="708"/>
        <w:jc w:val="both"/>
        <w:rPr>
          <w:rFonts w:ascii="Times New Roman" w:hAnsi="Times New Roman"/>
          <w:sz w:val="24"/>
          <w:szCs w:val="24"/>
        </w:rPr>
      </w:pPr>
      <w:r w:rsidRPr="00964DA1">
        <w:rPr>
          <w:rFonts w:ascii="Times New Roman" w:hAnsi="Times New Roman"/>
          <w:sz w:val="24"/>
          <w:szCs w:val="24"/>
        </w:rPr>
        <w:t>Работата по изграждането на автомагистрала „Струма“ е един от важните приоритети на правителството. Това е основният приоритетен пътен проект, заложен за финансиране със средства от европейската солидарност по новата ОП "Транспорт и транспортна инфраструктура" (ОПТТИ), като средствата по приоритетна ос 2 за финансиране на пътна инфраструктура са в размер на 673 млн. евро. Като част от коридор Ориент/Източно Средиземноморие автомагистралата е важен компонент от транс-европейската транспортна мрежа и финализирането й е ключово за икономическото развитие на региона. Към момента са осъществени необходимите действи</w:t>
      </w:r>
      <w:r>
        <w:rPr>
          <w:rFonts w:ascii="Times New Roman" w:hAnsi="Times New Roman"/>
          <w:sz w:val="24"/>
          <w:szCs w:val="24"/>
        </w:rPr>
        <w:t>я</w:t>
      </w:r>
      <w:r w:rsidRPr="00964DA1">
        <w:rPr>
          <w:rFonts w:ascii="Times New Roman" w:hAnsi="Times New Roman"/>
          <w:sz w:val="24"/>
          <w:szCs w:val="24"/>
        </w:rPr>
        <w:t xml:space="preserve"> за осигуряване на условия за изграждане на оставащите участъци от автомагистралата до и след Кресненското дефиле, а именно изготвен е формуляр за кандидатстване за финансиране за участъците, който преминава последни проверки от инициативата JASPERS, както и са сключени строителни договори за някои от участъци. </w:t>
      </w:r>
    </w:p>
    <w:p w:rsidR="00787F38" w:rsidRPr="00964DA1" w:rsidRDefault="00787F38" w:rsidP="007C22C2">
      <w:pPr>
        <w:spacing w:after="0" w:line="360" w:lineRule="auto"/>
        <w:ind w:firstLine="708"/>
        <w:jc w:val="both"/>
        <w:rPr>
          <w:rFonts w:ascii="Times New Roman" w:hAnsi="Times New Roman"/>
          <w:bCs/>
          <w:sz w:val="24"/>
          <w:szCs w:val="24"/>
        </w:rPr>
      </w:pPr>
      <w:r w:rsidRPr="00964DA1">
        <w:rPr>
          <w:rFonts w:ascii="Times New Roman" w:hAnsi="Times New Roman"/>
          <w:sz w:val="24"/>
          <w:szCs w:val="24"/>
        </w:rPr>
        <w:t xml:space="preserve">През 2016 г. започнаха дейностите по изпълнението на участъка </w:t>
      </w:r>
      <w:r w:rsidRPr="00964DA1">
        <w:rPr>
          <w:rFonts w:ascii="Times New Roman" w:hAnsi="Times New Roman"/>
          <w:bCs/>
          <w:sz w:val="24"/>
          <w:szCs w:val="24"/>
        </w:rPr>
        <w:t xml:space="preserve">„Кресна-Сандански“ </w:t>
      </w:r>
      <w:r w:rsidRPr="00964DA1">
        <w:rPr>
          <w:rFonts w:ascii="Times New Roman" w:hAnsi="Times New Roman"/>
          <w:sz w:val="24"/>
          <w:szCs w:val="24"/>
        </w:rPr>
        <w:t>с</w:t>
      </w:r>
      <w:r w:rsidRPr="00964DA1">
        <w:rPr>
          <w:rFonts w:ascii="Times New Roman" w:hAnsi="Times New Roman"/>
          <w:bCs/>
          <w:sz w:val="24"/>
          <w:szCs w:val="24"/>
        </w:rPr>
        <w:t xml:space="preserve"> обща дължина 24 км. В момента се провеждат тръжни процедури по ЗОП за избор на изпълнител на строителство и строителен надзор за тунела „Железница“ с дължина от 2 км. В процес на изпълнение е и участъка Благоевград – Крупник. </w:t>
      </w:r>
    </w:p>
    <w:p w:rsidR="00787F38" w:rsidRPr="00964DA1" w:rsidRDefault="00787F38" w:rsidP="007C22C2">
      <w:pPr>
        <w:spacing w:after="0" w:line="360" w:lineRule="auto"/>
        <w:ind w:firstLine="708"/>
        <w:jc w:val="both"/>
        <w:rPr>
          <w:rFonts w:ascii="Times New Roman" w:hAnsi="Times New Roman"/>
          <w:bCs/>
          <w:sz w:val="24"/>
          <w:szCs w:val="24"/>
        </w:rPr>
      </w:pPr>
      <w:r w:rsidRPr="00964DA1">
        <w:rPr>
          <w:rFonts w:ascii="Times New Roman" w:hAnsi="Times New Roman"/>
          <w:bCs/>
          <w:sz w:val="24"/>
          <w:szCs w:val="24"/>
        </w:rPr>
        <w:t xml:space="preserve">Участъкът на автомагистрала „Струма“ в района на Кресненското дефиле също е в напреднала фаза на подготовка. През 2016 г. е разработен нов вариант на трасе с изграждане на обход на Кресненското дефиле с едно платно от източната му страна. Новият вариант е включен в обхвата на </w:t>
      </w:r>
      <w:r>
        <w:rPr>
          <w:rFonts w:ascii="Times New Roman" w:hAnsi="Times New Roman"/>
          <w:bCs/>
          <w:sz w:val="24"/>
          <w:szCs w:val="24"/>
        </w:rPr>
        <w:t>о</w:t>
      </w:r>
      <w:r w:rsidRPr="00964DA1">
        <w:rPr>
          <w:rFonts w:ascii="Times New Roman" w:hAnsi="Times New Roman"/>
          <w:bCs/>
          <w:sz w:val="24"/>
          <w:szCs w:val="24"/>
        </w:rPr>
        <w:t>ценка на въздействието върху околната среда</w:t>
      </w:r>
      <w:r>
        <w:rPr>
          <w:rFonts w:ascii="Times New Roman" w:hAnsi="Times New Roman"/>
          <w:bCs/>
          <w:sz w:val="24"/>
          <w:szCs w:val="24"/>
        </w:rPr>
        <w:t xml:space="preserve"> (ОВОС)</w:t>
      </w:r>
      <w:r w:rsidRPr="00964DA1">
        <w:rPr>
          <w:rFonts w:ascii="Times New Roman" w:hAnsi="Times New Roman"/>
          <w:bCs/>
          <w:sz w:val="24"/>
          <w:szCs w:val="24"/>
        </w:rPr>
        <w:t xml:space="preserve">, която е в ход. За успеха на проекта беше изключително важно намирането на алтернативни проектни решения, извън проучваните досега, за участъка в Кресненското дефиле. С оглед намирането на най-адекватното проектно решение активно се води диалог с многобройни организации от неправителствения сектор, университети и БАН. Подготвени са условията за приемане на решение по ОВОС за проекта в първите месеци на 2017 г. Това ще позволи физическата реализация на </w:t>
      </w:r>
      <w:r w:rsidRPr="00964DA1">
        <w:rPr>
          <w:rFonts w:ascii="Times New Roman" w:hAnsi="Times New Roman"/>
          <w:bCs/>
          <w:sz w:val="24"/>
          <w:szCs w:val="24"/>
        </w:rPr>
        <w:lastRenderedPageBreak/>
        <w:t xml:space="preserve">участъка да започне още през 2017 г. и ефективно да бъдат усвоени всички средства по ОПТТИ. </w:t>
      </w:r>
    </w:p>
    <w:p w:rsidR="00787F38" w:rsidRPr="00964DA1" w:rsidRDefault="00787F38" w:rsidP="007C22C2">
      <w:pPr>
        <w:spacing w:after="0" w:line="360" w:lineRule="auto"/>
        <w:ind w:firstLine="708"/>
        <w:jc w:val="both"/>
        <w:rPr>
          <w:rFonts w:ascii="Times New Roman" w:hAnsi="Times New Roman"/>
          <w:sz w:val="24"/>
          <w:szCs w:val="24"/>
        </w:rPr>
      </w:pPr>
    </w:p>
    <w:p w:rsidR="00787F38" w:rsidRPr="00964DA1" w:rsidRDefault="00787F38" w:rsidP="007C22C2">
      <w:pPr>
        <w:spacing w:after="0" w:line="360" w:lineRule="auto"/>
        <w:ind w:firstLine="708"/>
        <w:jc w:val="both"/>
        <w:rPr>
          <w:rFonts w:ascii="Times New Roman" w:hAnsi="Times New Roman"/>
          <w:bCs/>
          <w:sz w:val="24"/>
          <w:szCs w:val="24"/>
        </w:rPr>
      </w:pPr>
      <w:r w:rsidRPr="00964DA1">
        <w:rPr>
          <w:rFonts w:ascii="Times New Roman" w:hAnsi="Times New Roman"/>
          <w:sz w:val="24"/>
          <w:szCs w:val="24"/>
        </w:rPr>
        <w:t xml:space="preserve">По оперативна програма „Региони в растеж“ 2014 </w:t>
      </w:r>
      <w:r>
        <w:rPr>
          <w:rFonts w:ascii="Times New Roman" w:hAnsi="Times New Roman"/>
          <w:sz w:val="24"/>
          <w:szCs w:val="24"/>
        </w:rPr>
        <w:t>- 2020</w:t>
      </w:r>
      <w:r w:rsidRPr="00964DA1">
        <w:rPr>
          <w:rFonts w:ascii="Times New Roman" w:hAnsi="Times New Roman"/>
          <w:sz w:val="24"/>
          <w:szCs w:val="24"/>
        </w:rPr>
        <w:t xml:space="preserve"> е осигурено финансиране за </w:t>
      </w:r>
      <w:r w:rsidRPr="00964DA1">
        <w:rPr>
          <w:rFonts w:ascii="Times New Roman" w:hAnsi="Times New Roman"/>
          <w:b/>
          <w:sz w:val="24"/>
          <w:szCs w:val="24"/>
        </w:rPr>
        <w:t>строителство, реконструкция и рехабилитация на първокласни, второкласни и третокласни пътища</w:t>
      </w:r>
      <w:r w:rsidRPr="00964DA1">
        <w:rPr>
          <w:rFonts w:ascii="Times New Roman" w:hAnsi="Times New Roman"/>
          <w:sz w:val="24"/>
          <w:szCs w:val="24"/>
        </w:rPr>
        <w:t>, които обслужват вътрешнорегионални връзки и осигуряват възможности за развитие на специфичния икономически потенциал. Общият размер на безвъзмездната финансова помощ, която  се предостави, е в размер на над 380 млн. лв. В рамките на договорените средства в</w:t>
      </w:r>
      <w:r w:rsidRPr="00964DA1">
        <w:rPr>
          <w:rFonts w:ascii="Times New Roman" w:hAnsi="Times New Roman"/>
          <w:bCs/>
          <w:sz w:val="24"/>
          <w:szCs w:val="24"/>
        </w:rPr>
        <w:t>ече са проведени обществени поръчки за избор на изпълнители за строителство и строителен надзор. Предстои през 2017 г. да започне рехабилитацията на 260 км пътища на стойност 200 млн. лв. В допълнение, се очаква одобрението за още</w:t>
      </w:r>
      <w:r w:rsidRPr="00964DA1">
        <w:rPr>
          <w:rFonts w:ascii="Times New Roman" w:hAnsi="Times New Roman"/>
          <w:sz w:val="24"/>
          <w:szCs w:val="24"/>
        </w:rPr>
        <w:t xml:space="preserve"> 3 проекта на стойност 27 млн.лв. за изпълнението на 48 км пътища. </w:t>
      </w:r>
    </w:p>
    <w:p w:rsidR="00787F38" w:rsidRPr="00964DA1" w:rsidRDefault="00787F38" w:rsidP="007C22C2">
      <w:pPr>
        <w:spacing w:after="0" w:line="360" w:lineRule="auto"/>
        <w:ind w:firstLine="708"/>
        <w:jc w:val="both"/>
        <w:rPr>
          <w:rFonts w:ascii="Times New Roman" w:hAnsi="Times New Roman"/>
          <w:sz w:val="24"/>
          <w:szCs w:val="24"/>
        </w:rPr>
      </w:pPr>
      <w:r w:rsidRPr="00964DA1">
        <w:rPr>
          <w:rFonts w:ascii="Times New Roman" w:hAnsi="Times New Roman"/>
          <w:sz w:val="24"/>
          <w:szCs w:val="24"/>
        </w:rPr>
        <w:t xml:space="preserve">В процес на изпълнение (етап прединвестиционно проучвание, тръжни процедури, строителство) са пътните проекти за обхода на гр. Габрово и за основния път на гр.Смолян. </w:t>
      </w:r>
    </w:p>
    <w:p w:rsidR="00787F38" w:rsidRPr="00964DA1" w:rsidRDefault="00787F38" w:rsidP="007C22C2">
      <w:pPr>
        <w:spacing w:after="0" w:line="360" w:lineRule="auto"/>
        <w:ind w:firstLine="708"/>
        <w:jc w:val="both"/>
        <w:rPr>
          <w:rFonts w:ascii="Times New Roman" w:hAnsi="Times New Roman"/>
          <w:sz w:val="24"/>
          <w:szCs w:val="24"/>
        </w:rPr>
      </w:pPr>
      <w:r w:rsidRPr="00964DA1">
        <w:rPr>
          <w:rFonts w:ascii="Times New Roman" w:hAnsi="Times New Roman"/>
          <w:b/>
          <w:sz w:val="24"/>
          <w:szCs w:val="24"/>
        </w:rPr>
        <w:t>В напреднала фаза на подготовка</w:t>
      </w:r>
      <w:r w:rsidRPr="00964DA1">
        <w:rPr>
          <w:rFonts w:ascii="Times New Roman" w:hAnsi="Times New Roman"/>
          <w:sz w:val="24"/>
          <w:szCs w:val="24"/>
        </w:rPr>
        <w:t xml:space="preserve"> са приоритетни проекти с обща дължина от </w:t>
      </w:r>
      <w:r w:rsidRPr="00964DA1">
        <w:rPr>
          <w:rFonts w:ascii="Times New Roman" w:hAnsi="Times New Roman"/>
          <w:b/>
          <w:sz w:val="24"/>
          <w:szCs w:val="24"/>
        </w:rPr>
        <w:t>350 км</w:t>
      </w:r>
      <w:r w:rsidRPr="00964DA1">
        <w:rPr>
          <w:rFonts w:ascii="Times New Roman" w:hAnsi="Times New Roman"/>
          <w:sz w:val="24"/>
          <w:szCs w:val="24"/>
        </w:rPr>
        <w:t>. - автомагистрала „Калотина – София“, автомагистрала „Хемус“, автомагистрала „Видин – Ботевград“, автомагистрала „Русе – Велико Търново“ , Южна дъга на Софийския околовръстен път, тунела под връх „Шипка”.</w:t>
      </w:r>
    </w:p>
    <w:p w:rsidR="00787F38" w:rsidRPr="00964DA1" w:rsidRDefault="00787F38" w:rsidP="007C22C2">
      <w:pPr>
        <w:spacing w:after="0" w:line="360" w:lineRule="auto"/>
        <w:jc w:val="both"/>
        <w:rPr>
          <w:rFonts w:ascii="Times New Roman" w:hAnsi="Times New Roman"/>
          <w:sz w:val="24"/>
          <w:szCs w:val="24"/>
        </w:rPr>
      </w:pPr>
    </w:p>
    <w:p w:rsidR="00787F38" w:rsidRPr="00964DA1" w:rsidRDefault="00787F38" w:rsidP="007C22C2">
      <w:pPr>
        <w:spacing w:after="0" w:line="360" w:lineRule="auto"/>
        <w:ind w:firstLine="708"/>
        <w:jc w:val="both"/>
        <w:rPr>
          <w:rFonts w:ascii="Times New Roman" w:hAnsi="Times New Roman"/>
          <w:b/>
          <w:sz w:val="24"/>
          <w:szCs w:val="24"/>
        </w:rPr>
      </w:pPr>
      <w:r w:rsidRPr="00964DA1">
        <w:rPr>
          <w:rFonts w:ascii="Times New Roman" w:hAnsi="Times New Roman"/>
          <w:b/>
          <w:sz w:val="24"/>
          <w:szCs w:val="24"/>
        </w:rPr>
        <w:t>Ремонти и рехабилитации на участъци от републиканската пътна мрежа:</w:t>
      </w:r>
    </w:p>
    <w:p w:rsidR="00787F38" w:rsidRPr="00964DA1" w:rsidRDefault="00787F38" w:rsidP="007C22C2">
      <w:pPr>
        <w:spacing w:after="0" w:line="360" w:lineRule="auto"/>
        <w:ind w:firstLine="708"/>
        <w:jc w:val="both"/>
        <w:rPr>
          <w:rFonts w:ascii="Times New Roman" w:hAnsi="Times New Roman"/>
          <w:b/>
          <w:sz w:val="24"/>
          <w:szCs w:val="24"/>
        </w:rPr>
      </w:pPr>
      <w:r w:rsidRPr="00964DA1">
        <w:rPr>
          <w:rFonts w:ascii="Times New Roman" w:hAnsi="Times New Roman"/>
          <w:sz w:val="24"/>
          <w:szCs w:val="24"/>
        </w:rPr>
        <w:t xml:space="preserve">Извършените ремонтни и рехабилитационни дейности обхващат пътища и съоръжения с </w:t>
      </w:r>
      <w:r w:rsidRPr="00964DA1">
        <w:rPr>
          <w:rFonts w:ascii="Times New Roman" w:hAnsi="Times New Roman"/>
          <w:b/>
          <w:sz w:val="24"/>
          <w:szCs w:val="24"/>
        </w:rPr>
        <w:t xml:space="preserve">обща дължина над 1100 км. </w:t>
      </w:r>
    </w:p>
    <w:p w:rsidR="00787F38" w:rsidRPr="00964DA1" w:rsidRDefault="00787F38" w:rsidP="007C22C2">
      <w:pPr>
        <w:spacing w:after="0" w:line="360" w:lineRule="auto"/>
        <w:ind w:firstLine="708"/>
        <w:jc w:val="both"/>
        <w:rPr>
          <w:rFonts w:ascii="Times New Roman" w:hAnsi="Times New Roman"/>
          <w:sz w:val="24"/>
          <w:szCs w:val="24"/>
        </w:rPr>
      </w:pPr>
      <w:r w:rsidRPr="00964DA1">
        <w:rPr>
          <w:rFonts w:ascii="Times New Roman" w:hAnsi="Times New Roman"/>
          <w:sz w:val="24"/>
          <w:szCs w:val="24"/>
        </w:rPr>
        <w:t>За периода са ремонтирани тунели, виадукти и мостови съоръжения (23 бр.), извършени са укрепителни и обезопасителни дейности на 15 обекта. Общата стойност на посочените дейности възлиза на 472 млн. лв., от които отпуснати от правителството с постановлени</w:t>
      </w:r>
      <w:r>
        <w:rPr>
          <w:rFonts w:ascii="Times New Roman" w:hAnsi="Times New Roman"/>
          <w:sz w:val="24"/>
          <w:szCs w:val="24"/>
        </w:rPr>
        <w:t>я</w:t>
      </w:r>
      <w:r w:rsidRPr="00964DA1">
        <w:rPr>
          <w:rFonts w:ascii="Times New Roman" w:hAnsi="Times New Roman"/>
          <w:sz w:val="24"/>
          <w:szCs w:val="24"/>
        </w:rPr>
        <w:t xml:space="preserve"> на Министерски съвет целеви средства за периода са над </w:t>
      </w:r>
      <w:r w:rsidRPr="00CF3C80">
        <w:rPr>
          <w:rFonts w:ascii="Times New Roman" w:hAnsi="Times New Roman"/>
          <w:sz w:val="24"/>
          <w:szCs w:val="24"/>
          <w:lang w:val="ru-RU"/>
        </w:rPr>
        <w:t>266</w:t>
      </w:r>
      <w:r w:rsidRPr="00964DA1">
        <w:rPr>
          <w:rFonts w:ascii="Times New Roman" w:hAnsi="Times New Roman"/>
          <w:sz w:val="24"/>
          <w:szCs w:val="24"/>
        </w:rPr>
        <w:t xml:space="preserve"> млн. лв. </w:t>
      </w:r>
    </w:p>
    <w:p w:rsidR="00787F38" w:rsidRPr="00964DA1" w:rsidRDefault="00787F38" w:rsidP="007C22C2">
      <w:pPr>
        <w:spacing w:after="0" w:line="360" w:lineRule="auto"/>
        <w:ind w:firstLine="708"/>
        <w:jc w:val="both"/>
        <w:rPr>
          <w:rFonts w:ascii="Times New Roman" w:hAnsi="Times New Roman"/>
          <w:sz w:val="24"/>
          <w:szCs w:val="24"/>
        </w:rPr>
      </w:pPr>
      <w:r w:rsidRPr="00964DA1">
        <w:rPr>
          <w:rFonts w:ascii="Times New Roman" w:hAnsi="Times New Roman"/>
          <w:sz w:val="24"/>
          <w:szCs w:val="24"/>
        </w:rPr>
        <w:t>Специални средства бяха заделени и вложени за ремонт и рехабилитация на тунели, мостове, виадукти и др. съоръжения по републиканската пътна мрежа. Необходимостта от предприемане на действия в това отношения беше належаща, поради обстоятелството, че ремонтни дейности по тези обекти не са извършвани 35 г. и те не отговарят на изискванията за пътна безопасност. Бяха използвани най-</w:t>
      </w:r>
      <w:r w:rsidRPr="00964DA1">
        <w:rPr>
          <w:rFonts w:ascii="Times New Roman" w:hAnsi="Times New Roman"/>
          <w:sz w:val="24"/>
          <w:szCs w:val="24"/>
        </w:rPr>
        <w:lastRenderedPageBreak/>
        <w:t>съвременните технологии и вложени средства от над 25 млн. лв. за рехабилитацията на следните съоръжения:</w:t>
      </w:r>
    </w:p>
    <w:p w:rsidR="00787F38" w:rsidRPr="00964DA1" w:rsidRDefault="00787F38" w:rsidP="007C22C2">
      <w:pPr>
        <w:pStyle w:val="ListParagraph"/>
        <w:numPr>
          <w:ilvl w:val="0"/>
          <w:numId w:val="23"/>
        </w:numPr>
        <w:spacing w:after="0" w:line="360" w:lineRule="auto"/>
        <w:jc w:val="both"/>
        <w:rPr>
          <w:rFonts w:ascii="Times New Roman" w:hAnsi="Times New Roman"/>
          <w:sz w:val="24"/>
          <w:szCs w:val="24"/>
        </w:rPr>
      </w:pPr>
      <w:r w:rsidRPr="00964DA1">
        <w:rPr>
          <w:rFonts w:ascii="Times New Roman" w:hAnsi="Times New Roman"/>
          <w:sz w:val="24"/>
          <w:szCs w:val="24"/>
        </w:rPr>
        <w:t>Тунели – 5 бр.: Тунел „Железница“ на път I-1 (ел. осветление), Траянови врата на автомагистрала „Тракия“, автомагистрала „Хемус“ – тунел „Витиня“ (</w:t>
      </w:r>
      <w:r>
        <w:rPr>
          <w:rFonts w:ascii="Times New Roman" w:hAnsi="Times New Roman"/>
          <w:sz w:val="24"/>
          <w:szCs w:val="24"/>
        </w:rPr>
        <w:t>дясна</w:t>
      </w:r>
      <w:r w:rsidRPr="00964DA1">
        <w:rPr>
          <w:rFonts w:ascii="Times New Roman" w:hAnsi="Times New Roman"/>
          <w:sz w:val="24"/>
          <w:szCs w:val="24"/>
        </w:rPr>
        <w:t xml:space="preserve"> тръба), </w:t>
      </w:r>
      <w:r>
        <w:rPr>
          <w:rFonts w:ascii="Times New Roman" w:hAnsi="Times New Roman"/>
          <w:sz w:val="24"/>
          <w:szCs w:val="24"/>
        </w:rPr>
        <w:t>тунел „Ечемишка“ (дясна тръба)</w:t>
      </w:r>
      <w:r w:rsidRPr="00964DA1">
        <w:rPr>
          <w:rFonts w:ascii="Times New Roman" w:hAnsi="Times New Roman"/>
          <w:sz w:val="24"/>
          <w:szCs w:val="24"/>
        </w:rPr>
        <w:t xml:space="preserve">“. </w:t>
      </w:r>
    </w:p>
    <w:p w:rsidR="00787F38" w:rsidRPr="00964DA1" w:rsidRDefault="00787F38" w:rsidP="007C22C2">
      <w:pPr>
        <w:spacing w:after="0" w:line="360" w:lineRule="auto"/>
        <w:ind w:firstLine="708"/>
        <w:jc w:val="both"/>
        <w:rPr>
          <w:rFonts w:ascii="Times New Roman" w:hAnsi="Times New Roman"/>
          <w:sz w:val="24"/>
          <w:szCs w:val="24"/>
        </w:rPr>
      </w:pPr>
    </w:p>
    <w:p w:rsidR="00787F38" w:rsidRPr="006340A5" w:rsidRDefault="00787F38" w:rsidP="006340A5">
      <w:pPr>
        <w:spacing w:after="0" w:line="360" w:lineRule="auto"/>
        <w:ind w:firstLine="708"/>
        <w:jc w:val="both"/>
        <w:rPr>
          <w:rFonts w:ascii="Times New Roman" w:hAnsi="Times New Roman"/>
          <w:sz w:val="24"/>
          <w:szCs w:val="24"/>
        </w:rPr>
      </w:pPr>
      <w:r w:rsidRPr="004B2BCF">
        <w:rPr>
          <w:rFonts w:ascii="Times New Roman" w:hAnsi="Times New Roman"/>
          <w:sz w:val="24"/>
          <w:szCs w:val="24"/>
        </w:rPr>
        <w:t>Рехабилитации и превантивни ремонти са извършени</w:t>
      </w:r>
      <w:r w:rsidRPr="004B2BCF">
        <w:rPr>
          <w:rFonts w:ascii="Times New Roman" w:hAnsi="Times New Roman"/>
          <w:sz w:val="24"/>
          <w:szCs w:val="24"/>
          <w:lang w:val="ru-RU"/>
        </w:rPr>
        <w:t xml:space="preserve"> </w:t>
      </w:r>
      <w:r>
        <w:rPr>
          <w:rFonts w:ascii="Times New Roman" w:hAnsi="Times New Roman"/>
          <w:sz w:val="24"/>
          <w:szCs w:val="24"/>
        </w:rPr>
        <w:t>на</w:t>
      </w:r>
      <w:r w:rsidRPr="004B2BCF">
        <w:rPr>
          <w:rFonts w:ascii="Times New Roman" w:hAnsi="Times New Roman"/>
          <w:sz w:val="24"/>
          <w:szCs w:val="24"/>
        </w:rPr>
        <w:t xml:space="preserve"> други 18 съоръжения</w:t>
      </w:r>
      <w:r w:rsidRPr="006340A5">
        <w:rPr>
          <w:rFonts w:ascii="Times New Roman" w:hAnsi="Times New Roman"/>
          <w:sz w:val="24"/>
          <w:szCs w:val="24"/>
        </w:rPr>
        <w:t xml:space="preserve">, като дейностите са на стойност </w:t>
      </w:r>
      <w:r w:rsidRPr="006340A5">
        <w:rPr>
          <w:rFonts w:ascii="Times New Roman" w:hAnsi="Times New Roman"/>
          <w:sz w:val="24"/>
          <w:szCs w:val="24"/>
          <w:lang w:val="ru-RU"/>
        </w:rPr>
        <w:t xml:space="preserve">82 </w:t>
      </w:r>
      <w:r w:rsidRPr="006340A5">
        <w:rPr>
          <w:rFonts w:ascii="Times New Roman" w:hAnsi="Times New Roman"/>
          <w:sz w:val="24"/>
          <w:szCs w:val="24"/>
        </w:rPr>
        <w:t>млн. лв. и обхващат: мост на път І-2 Русе-Разград, над р. Бели Лом, с. Писанец; мост на път III-198 (област Благоевград); Аспарухов мост, автомагистрала „Хемус“ – виадукт „Елешница“, виадукти при км 41+160, км 41+400; виадукт „Бебреш“- най-сложният и най-големият; 4 съоръжения при км 380+680, при км 394+340, при 422+020, при 422+225; АМ „Тракия“ – съоръжения при км 9+000, при км 63+000, при км 77+000, при км 136+950, виадукти при км 61+327 и при км 67+027; надлез над път I-6 по път III-5007 Ветрен-Николаево-Конаре км 20+500; ж.п. надлез на км. 14+100 при гара Елин Пелин, път ІІІ-105 „І-1 /Елешница/-Елин Пелин-Гара Елин Пелин-І-8 /Нови хан/“; надлез над ж.п. линия на път II 18 при Казичене от км 32+240 до км 32+680.</w:t>
      </w:r>
    </w:p>
    <w:p w:rsidR="00787F38" w:rsidRPr="00964DA1" w:rsidRDefault="00787F38" w:rsidP="007C22C2">
      <w:pPr>
        <w:spacing w:after="0" w:line="360" w:lineRule="auto"/>
        <w:jc w:val="both"/>
        <w:rPr>
          <w:rFonts w:ascii="Times New Roman" w:hAnsi="Times New Roman"/>
          <w:sz w:val="24"/>
          <w:szCs w:val="24"/>
        </w:rPr>
      </w:pPr>
    </w:p>
    <w:p w:rsidR="00787F38" w:rsidRPr="00964DA1" w:rsidRDefault="00787F38" w:rsidP="007C22C2">
      <w:pPr>
        <w:spacing w:after="0" w:line="360" w:lineRule="auto"/>
        <w:ind w:firstLine="708"/>
        <w:jc w:val="both"/>
        <w:rPr>
          <w:rFonts w:ascii="Times New Roman" w:hAnsi="Times New Roman"/>
          <w:b/>
          <w:sz w:val="24"/>
          <w:szCs w:val="24"/>
        </w:rPr>
      </w:pPr>
      <w:r w:rsidRPr="00964DA1">
        <w:rPr>
          <w:rFonts w:ascii="Times New Roman" w:hAnsi="Times New Roman"/>
          <w:b/>
          <w:sz w:val="24"/>
          <w:szCs w:val="24"/>
        </w:rPr>
        <w:t>Поддържане на републиканската пътна мрежа</w:t>
      </w:r>
    </w:p>
    <w:p w:rsidR="00787F38" w:rsidRPr="00964DA1" w:rsidRDefault="00787F38" w:rsidP="007C22C2">
      <w:pPr>
        <w:spacing w:after="0" w:line="360" w:lineRule="auto"/>
        <w:ind w:firstLine="708"/>
        <w:jc w:val="both"/>
        <w:rPr>
          <w:rFonts w:ascii="Times New Roman" w:hAnsi="Times New Roman"/>
          <w:sz w:val="24"/>
          <w:szCs w:val="24"/>
        </w:rPr>
      </w:pPr>
      <w:r w:rsidRPr="00964DA1">
        <w:rPr>
          <w:rFonts w:ascii="Times New Roman" w:hAnsi="Times New Roman"/>
          <w:sz w:val="24"/>
          <w:szCs w:val="24"/>
        </w:rPr>
        <w:t xml:space="preserve">Общо за 2015 и 2016 г. за текущо поддържане, включително зимно поддържане, на близо 20 хил. км републикански пътища, вложените средства са в размер на над </w:t>
      </w:r>
      <w:r>
        <w:rPr>
          <w:rFonts w:ascii="Times New Roman" w:hAnsi="Times New Roman"/>
          <w:sz w:val="24"/>
          <w:szCs w:val="24"/>
        </w:rPr>
        <w:t>334</w:t>
      </w:r>
      <w:r w:rsidRPr="00964DA1">
        <w:rPr>
          <w:rFonts w:ascii="Times New Roman" w:hAnsi="Times New Roman"/>
          <w:sz w:val="24"/>
          <w:szCs w:val="24"/>
        </w:rPr>
        <w:t xml:space="preserve">  млн. лв.</w:t>
      </w:r>
    </w:p>
    <w:p w:rsidR="00787F38" w:rsidRPr="00964DA1" w:rsidRDefault="00787F38" w:rsidP="007C22C2">
      <w:pPr>
        <w:spacing w:after="0" w:line="360" w:lineRule="auto"/>
        <w:ind w:firstLine="708"/>
        <w:jc w:val="both"/>
        <w:rPr>
          <w:rFonts w:ascii="Times New Roman" w:hAnsi="Times New Roman"/>
          <w:sz w:val="24"/>
          <w:szCs w:val="24"/>
        </w:rPr>
      </w:pPr>
      <w:r w:rsidRPr="00964DA1">
        <w:rPr>
          <w:rFonts w:ascii="Times New Roman" w:hAnsi="Times New Roman"/>
          <w:sz w:val="24"/>
          <w:szCs w:val="24"/>
        </w:rPr>
        <w:t>За зимния сезон 2016-2017 г. са осигурени всички необходими средства за зимна и текуща поддръжка на пътната мрежа. Предприети са всички мерки в тази посока, като е проверена готовността на фирмите, ангажирани със зимното почистване. За това е докладвано пред Министерски съвет, както и пред междуведомствения координационен щаб.</w:t>
      </w:r>
    </w:p>
    <w:p w:rsidR="00787F38" w:rsidRPr="00964DA1" w:rsidRDefault="00787F38" w:rsidP="00A0219B">
      <w:pPr>
        <w:spacing w:after="0" w:line="360" w:lineRule="auto"/>
        <w:jc w:val="both"/>
        <w:rPr>
          <w:rFonts w:ascii="Times New Roman" w:hAnsi="Times New Roman"/>
          <w:sz w:val="24"/>
          <w:szCs w:val="24"/>
        </w:rPr>
      </w:pPr>
    </w:p>
    <w:p w:rsidR="00787F38" w:rsidRPr="00964DA1" w:rsidRDefault="00787F38" w:rsidP="00572D19">
      <w:pPr>
        <w:spacing w:after="0" w:line="360" w:lineRule="auto"/>
        <w:ind w:firstLine="708"/>
        <w:jc w:val="both"/>
        <w:rPr>
          <w:rFonts w:ascii="Times New Roman" w:hAnsi="Times New Roman"/>
          <w:b/>
          <w:sz w:val="24"/>
          <w:szCs w:val="24"/>
        </w:rPr>
      </w:pPr>
      <w:r w:rsidRPr="00964DA1">
        <w:rPr>
          <w:rFonts w:ascii="Times New Roman" w:hAnsi="Times New Roman"/>
          <w:b/>
          <w:sz w:val="24"/>
          <w:szCs w:val="24"/>
        </w:rPr>
        <w:t xml:space="preserve">Внедряване на Електронната система за предоставяне на Европейската услуга за електронно събиране на пътни такси </w:t>
      </w:r>
    </w:p>
    <w:p w:rsidR="00787F38" w:rsidRPr="00964DA1" w:rsidRDefault="00787F38" w:rsidP="00E865DA">
      <w:pPr>
        <w:spacing w:after="0" w:line="360" w:lineRule="auto"/>
        <w:ind w:firstLine="708"/>
        <w:jc w:val="both"/>
        <w:rPr>
          <w:rFonts w:ascii="Times New Roman" w:hAnsi="Times New Roman"/>
          <w:sz w:val="24"/>
          <w:szCs w:val="24"/>
        </w:rPr>
      </w:pPr>
      <w:r w:rsidRPr="00964DA1">
        <w:rPr>
          <w:rFonts w:ascii="Times New Roman" w:hAnsi="Times New Roman"/>
          <w:sz w:val="24"/>
          <w:szCs w:val="24"/>
        </w:rPr>
        <w:t xml:space="preserve">Със свое Решение от 11 ноември 2015 г., Министерският съвет одобри въвеждането на смесена система за тол такса за тежкотоварни моторни превозни средства и електронна винетка за леки моторни превозни средства, както и предоставяне на европейски услуги за електронно таксуване. С това </w:t>
      </w:r>
      <w:r>
        <w:rPr>
          <w:rFonts w:ascii="Times New Roman" w:hAnsi="Times New Roman"/>
          <w:sz w:val="24"/>
          <w:szCs w:val="24"/>
        </w:rPr>
        <w:t>р</w:t>
      </w:r>
      <w:r w:rsidRPr="00964DA1">
        <w:rPr>
          <w:rFonts w:ascii="Times New Roman" w:hAnsi="Times New Roman"/>
          <w:sz w:val="24"/>
          <w:szCs w:val="24"/>
        </w:rPr>
        <w:t xml:space="preserve">ешение беше </w:t>
      </w:r>
      <w:r w:rsidRPr="00964DA1">
        <w:rPr>
          <w:rFonts w:ascii="Times New Roman" w:hAnsi="Times New Roman"/>
          <w:sz w:val="24"/>
          <w:szCs w:val="24"/>
        </w:rPr>
        <w:lastRenderedPageBreak/>
        <w:t>дадено и съгласие за провеждане на процедура за избор на изпълнител за комплексно обслужване при електронно събиране на пътни такси.</w:t>
      </w:r>
    </w:p>
    <w:p w:rsidR="00787F38" w:rsidRPr="00964DA1" w:rsidRDefault="00787F38" w:rsidP="00931980">
      <w:pPr>
        <w:spacing w:after="0" w:line="360" w:lineRule="auto"/>
        <w:ind w:firstLine="708"/>
        <w:jc w:val="both"/>
        <w:rPr>
          <w:rFonts w:ascii="Times New Roman" w:hAnsi="Times New Roman"/>
          <w:sz w:val="24"/>
          <w:szCs w:val="24"/>
        </w:rPr>
      </w:pPr>
      <w:r w:rsidRPr="00964DA1">
        <w:rPr>
          <w:rFonts w:ascii="Times New Roman" w:hAnsi="Times New Roman"/>
          <w:sz w:val="24"/>
          <w:szCs w:val="24"/>
        </w:rPr>
        <w:t>Въвеждането на системата за електронно събиране на пътни такси ще осигури по-справедливо разпределение на разходите между ползвателите на пътната мрежа, в зависимост от вида превозно средство и използваните пътища, а не както е в момента -  на база „една цена за всички“. Ще се приложи принципът потребителят/замърсителят заплаща, така че тези превозни средства, които най-много увреждат пътищата, да заплащат повече.</w:t>
      </w:r>
    </w:p>
    <w:p w:rsidR="00787F38" w:rsidRPr="00964DA1" w:rsidRDefault="00787F38" w:rsidP="00E865DA">
      <w:pPr>
        <w:spacing w:after="0" w:line="360" w:lineRule="auto"/>
        <w:ind w:firstLine="708"/>
        <w:jc w:val="both"/>
        <w:rPr>
          <w:rFonts w:ascii="Times New Roman" w:hAnsi="Times New Roman"/>
          <w:sz w:val="24"/>
          <w:szCs w:val="24"/>
        </w:rPr>
      </w:pPr>
      <w:r w:rsidRPr="00964DA1">
        <w:rPr>
          <w:rFonts w:ascii="Times New Roman" w:hAnsi="Times New Roman"/>
          <w:sz w:val="24"/>
          <w:szCs w:val="24"/>
        </w:rPr>
        <w:t>С оглед постигане на заложените цели, през м.април 2016 г.</w:t>
      </w:r>
      <w:r w:rsidRPr="00964DA1">
        <w:rPr>
          <w:rFonts w:ascii="Times New Roman" w:hAnsi="Times New Roman"/>
          <w:b/>
          <w:sz w:val="24"/>
          <w:szCs w:val="24"/>
        </w:rPr>
        <w:t xml:space="preserve"> </w:t>
      </w:r>
      <w:r w:rsidRPr="00964DA1">
        <w:rPr>
          <w:rFonts w:ascii="Times New Roman" w:hAnsi="Times New Roman"/>
          <w:sz w:val="24"/>
          <w:szCs w:val="24"/>
        </w:rPr>
        <w:t xml:space="preserve">стартира търгът за въвеждане на смесена система за плащане на такса за ползване на републиканска пътна мрежа - тол-система за автомобили над 3,5 т. и електронна винетка за автомобили до 3,5 т. Над </w:t>
      </w:r>
      <w:r>
        <w:rPr>
          <w:rFonts w:ascii="Times New Roman" w:hAnsi="Times New Roman"/>
          <w:sz w:val="24"/>
          <w:szCs w:val="24"/>
        </w:rPr>
        <w:t>8</w:t>
      </w:r>
      <w:r w:rsidRPr="00964DA1">
        <w:rPr>
          <w:rFonts w:ascii="Times New Roman" w:hAnsi="Times New Roman"/>
          <w:sz w:val="24"/>
          <w:szCs w:val="24"/>
        </w:rPr>
        <w:t xml:space="preserve"> месеца вече процедурата е бл</w:t>
      </w:r>
      <w:r>
        <w:rPr>
          <w:rFonts w:ascii="Times New Roman" w:hAnsi="Times New Roman"/>
          <w:sz w:val="24"/>
          <w:szCs w:val="24"/>
        </w:rPr>
        <w:t>ок</w:t>
      </w:r>
      <w:r w:rsidRPr="00964DA1">
        <w:rPr>
          <w:rFonts w:ascii="Times New Roman" w:hAnsi="Times New Roman"/>
          <w:sz w:val="24"/>
          <w:szCs w:val="24"/>
        </w:rPr>
        <w:t xml:space="preserve">ирана на етап подаване на оферти, като беше няколкократно спирана по жалби на различни компании. В момента процедурата </w:t>
      </w:r>
      <w:r>
        <w:rPr>
          <w:rFonts w:ascii="Times New Roman" w:hAnsi="Times New Roman"/>
          <w:sz w:val="24"/>
          <w:szCs w:val="24"/>
        </w:rPr>
        <w:t xml:space="preserve">отново </w:t>
      </w:r>
      <w:r w:rsidRPr="00964DA1">
        <w:rPr>
          <w:rFonts w:ascii="Times New Roman" w:hAnsi="Times New Roman"/>
          <w:sz w:val="24"/>
          <w:szCs w:val="24"/>
        </w:rPr>
        <w:t xml:space="preserve">е временно спряна, като се очаква произнасяне на Комисията за </w:t>
      </w:r>
      <w:r>
        <w:rPr>
          <w:rFonts w:ascii="Times New Roman" w:hAnsi="Times New Roman"/>
          <w:sz w:val="24"/>
          <w:szCs w:val="24"/>
        </w:rPr>
        <w:t xml:space="preserve">защита на конкуренцията </w:t>
      </w:r>
      <w:r w:rsidRPr="00964DA1">
        <w:rPr>
          <w:rFonts w:ascii="Times New Roman" w:hAnsi="Times New Roman"/>
          <w:sz w:val="24"/>
          <w:szCs w:val="24"/>
        </w:rPr>
        <w:t>по последно подадените жалби.</w:t>
      </w:r>
    </w:p>
    <w:p w:rsidR="00787F38" w:rsidRPr="00964DA1" w:rsidRDefault="00787F38" w:rsidP="00E865DA">
      <w:pPr>
        <w:spacing w:after="0" w:line="360" w:lineRule="auto"/>
        <w:ind w:firstLine="708"/>
        <w:jc w:val="both"/>
        <w:rPr>
          <w:rFonts w:ascii="Times New Roman" w:hAnsi="Times New Roman"/>
          <w:sz w:val="24"/>
          <w:szCs w:val="24"/>
        </w:rPr>
      </w:pPr>
      <w:r w:rsidRPr="00964DA1">
        <w:rPr>
          <w:rFonts w:ascii="Times New Roman" w:hAnsi="Times New Roman"/>
          <w:sz w:val="24"/>
          <w:szCs w:val="24"/>
        </w:rPr>
        <w:t xml:space="preserve">При успешно финализиране на процедурата по ЗОП и избор на изпълнител, който да изгради смесената система за електронно събиране на пътни такси, </w:t>
      </w:r>
      <w:r>
        <w:rPr>
          <w:rFonts w:ascii="Times New Roman" w:hAnsi="Times New Roman"/>
          <w:sz w:val="24"/>
          <w:szCs w:val="24"/>
        </w:rPr>
        <w:t>се очаква</w:t>
      </w:r>
      <w:r w:rsidRPr="00964DA1">
        <w:rPr>
          <w:rFonts w:ascii="Times New Roman" w:hAnsi="Times New Roman"/>
          <w:sz w:val="24"/>
          <w:szCs w:val="24"/>
        </w:rPr>
        <w:t xml:space="preserve"> внедряването й да започне </w:t>
      </w:r>
      <w:r w:rsidR="00A85E42">
        <w:rPr>
          <w:rFonts w:ascii="Times New Roman" w:hAnsi="Times New Roman"/>
          <w:sz w:val="24"/>
          <w:szCs w:val="24"/>
        </w:rPr>
        <w:t>максимално бързо</w:t>
      </w:r>
      <w:r w:rsidRPr="00964DA1">
        <w:rPr>
          <w:rFonts w:ascii="Times New Roman" w:hAnsi="Times New Roman"/>
          <w:sz w:val="24"/>
          <w:szCs w:val="24"/>
        </w:rPr>
        <w:t>.</w:t>
      </w:r>
    </w:p>
    <w:p w:rsidR="00787F38" w:rsidRPr="00964DA1" w:rsidRDefault="00787F38" w:rsidP="00E6715D">
      <w:pPr>
        <w:spacing w:after="0" w:line="360" w:lineRule="auto"/>
        <w:jc w:val="both"/>
        <w:rPr>
          <w:rFonts w:ascii="Times New Roman" w:hAnsi="Times New Roman"/>
          <w:b/>
          <w:sz w:val="24"/>
          <w:szCs w:val="24"/>
        </w:rPr>
      </w:pPr>
    </w:p>
    <w:p w:rsidR="00787F38" w:rsidRPr="00964DA1" w:rsidRDefault="00787F38" w:rsidP="00BE092D">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bCs/>
          <w:sz w:val="24"/>
          <w:szCs w:val="24"/>
        </w:rPr>
      </w:pPr>
      <w:r w:rsidRPr="00964DA1">
        <w:rPr>
          <w:rFonts w:ascii="Times New Roman" w:hAnsi="Times New Roman"/>
          <w:b/>
          <w:bCs/>
          <w:sz w:val="24"/>
          <w:szCs w:val="24"/>
        </w:rPr>
        <w:t>ОП “Регионално развитие” 2007 - 2013 г.</w:t>
      </w:r>
    </w:p>
    <w:p w:rsidR="00787F38" w:rsidRPr="00964DA1" w:rsidRDefault="00787F38" w:rsidP="00DF4894">
      <w:pPr>
        <w:spacing w:after="0" w:line="360" w:lineRule="auto"/>
        <w:jc w:val="both"/>
        <w:rPr>
          <w:rFonts w:ascii="Times New Roman" w:hAnsi="Times New Roman"/>
          <w:bCs/>
          <w:sz w:val="24"/>
          <w:szCs w:val="24"/>
        </w:rPr>
      </w:pPr>
    </w:p>
    <w:p w:rsidR="00787F38" w:rsidRPr="003650BD" w:rsidRDefault="00787F38" w:rsidP="003650BD">
      <w:pPr>
        <w:spacing w:after="0" w:line="360" w:lineRule="auto"/>
        <w:ind w:firstLine="708"/>
        <w:jc w:val="both"/>
        <w:rPr>
          <w:rFonts w:ascii="Times New Roman" w:hAnsi="Times New Roman"/>
          <w:bCs/>
          <w:sz w:val="24"/>
          <w:szCs w:val="24"/>
        </w:rPr>
      </w:pPr>
      <w:r w:rsidRPr="003650BD">
        <w:rPr>
          <w:rFonts w:ascii="Times New Roman" w:hAnsi="Times New Roman"/>
          <w:bCs/>
          <w:sz w:val="24"/>
          <w:szCs w:val="24"/>
        </w:rPr>
        <w:t>Вторият кабинет „Борисов“ завари напълно блокирана оперативна програма „Регионално развитие“ 2007 – 2013 г. След извършен одит от  ЕК, през май 2014 г. са спрени плащанията по Приоритетни оси 1 и 3 на  ОПРР 2007-2013 г. Стартираха незабавни преговори с ЕК за размразяване, което беше направено през м. февруари 2015 г. и целта програмата да бъде завършена успешно и напълно разплатена, беше постигната:</w:t>
      </w:r>
    </w:p>
    <w:p w:rsidR="00787F38" w:rsidRPr="003650BD" w:rsidRDefault="00787F38" w:rsidP="003650BD">
      <w:pPr>
        <w:spacing w:after="0" w:line="360" w:lineRule="auto"/>
        <w:ind w:firstLine="708"/>
        <w:jc w:val="both"/>
        <w:rPr>
          <w:rFonts w:ascii="Times New Roman" w:hAnsi="Times New Roman"/>
          <w:bCs/>
          <w:sz w:val="24"/>
          <w:szCs w:val="24"/>
        </w:rPr>
      </w:pPr>
    </w:p>
    <w:p w:rsidR="00787F38" w:rsidRPr="003650BD" w:rsidRDefault="00787F38" w:rsidP="003650BD">
      <w:pPr>
        <w:numPr>
          <w:ilvl w:val="0"/>
          <w:numId w:val="24"/>
        </w:numPr>
        <w:spacing w:after="0" w:line="360" w:lineRule="auto"/>
        <w:contextualSpacing/>
        <w:rPr>
          <w:rFonts w:ascii="Times New Roman" w:hAnsi="Times New Roman"/>
          <w:bCs/>
          <w:sz w:val="24"/>
          <w:szCs w:val="24"/>
          <w:u w:val="single"/>
        </w:rPr>
      </w:pPr>
      <w:r w:rsidRPr="003650BD">
        <w:rPr>
          <w:rFonts w:ascii="Times New Roman" w:hAnsi="Times New Roman"/>
          <w:bCs/>
          <w:sz w:val="24"/>
          <w:szCs w:val="24"/>
        </w:rPr>
        <w:t xml:space="preserve">Договорени бяха проекти за </w:t>
      </w:r>
      <w:r w:rsidRPr="003650BD">
        <w:rPr>
          <w:rFonts w:ascii="Times New Roman" w:hAnsi="Times New Roman"/>
          <w:b/>
          <w:bCs/>
          <w:sz w:val="24"/>
          <w:szCs w:val="24"/>
        </w:rPr>
        <w:t xml:space="preserve">3,2 млрд. лв. или 104% </w:t>
      </w:r>
      <w:r w:rsidRPr="003650BD">
        <w:rPr>
          <w:rFonts w:ascii="Times New Roman" w:hAnsi="Times New Roman"/>
          <w:bCs/>
          <w:sz w:val="24"/>
          <w:szCs w:val="24"/>
        </w:rPr>
        <w:t>от бюджета на програмата.</w:t>
      </w:r>
    </w:p>
    <w:p w:rsidR="00787F38" w:rsidRPr="003650BD" w:rsidRDefault="00787F38" w:rsidP="003650BD">
      <w:pPr>
        <w:numPr>
          <w:ilvl w:val="0"/>
          <w:numId w:val="24"/>
        </w:numPr>
        <w:spacing w:after="0" w:line="360" w:lineRule="auto"/>
        <w:contextualSpacing/>
        <w:jc w:val="both"/>
        <w:rPr>
          <w:rFonts w:ascii="Times New Roman" w:hAnsi="Times New Roman"/>
          <w:bCs/>
          <w:sz w:val="24"/>
          <w:szCs w:val="24"/>
        </w:rPr>
      </w:pPr>
      <w:r w:rsidRPr="003650BD">
        <w:rPr>
          <w:rFonts w:ascii="Times New Roman" w:hAnsi="Times New Roman"/>
          <w:bCs/>
          <w:sz w:val="24"/>
          <w:szCs w:val="24"/>
        </w:rPr>
        <w:t xml:space="preserve">Общо сертифицираните разходи са в размер на </w:t>
      </w:r>
      <w:r>
        <w:rPr>
          <w:rFonts w:ascii="Times New Roman" w:hAnsi="Times New Roman"/>
          <w:b/>
          <w:bCs/>
          <w:sz w:val="24"/>
          <w:szCs w:val="24"/>
        </w:rPr>
        <w:t>3</w:t>
      </w:r>
      <w:r w:rsidRPr="003650BD">
        <w:rPr>
          <w:rFonts w:ascii="Times New Roman" w:hAnsi="Times New Roman"/>
          <w:b/>
          <w:bCs/>
          <w:sz w:val="24"/>
          <w:szCs w:val="24"/>
        </w:rPr>
        <w:t xml:space="preserve"> млрд. лв. или</w:t>
      </w:r>
      <w:r>
        <w:rPr>
          <w:rFonts w:ascii="Times New Roman" w:hAnsi="Times New Roman"/>
          <w:b/>
          <w:bCs/>
          <w:sz w:val="24"/>
          <w:szCs w:val="24"/>
        </w:rPr>
        <w:t xml:space="preserve"> почти</w:t>
      </w:r>
      <w:r w:rsidRPr="003650BD">
        <w:rPr>
          <w:rFonts w:ascii="Times New Roman" w:hAnsi="Times New Roman"/>
          <w:bCs/>
          <w:sz w:val="24"/>
          <w:szCs w:val="24"/>
        </w:rPr>
        <w:t xml:space="preserve"> </w:t>
      </w:r>
      <w:r>
        <w:rPr>
          <w:rFonts w:ascii="Times New Roman" w:hAnsi="Times New Roman"/>
          <w:b/>
          <w:bCs/>
          <w:sz w:val="24"/>
          <w:szCs w:val="24"/>
        </w:rPr>
        <w:t>96</w:t>
      </w:r>
      <w:r w:rsidRPr="003650BD">
        <w:rPr>
          <w:rFonts w:ascii="Times New Roman" w:hAnsi="Times New Roman"/>
          <w:b/>
          <w:bCs/>
          <w:sz w:val="24"/>
          <w:szCs w:val="24"/>
        </w:rPr>
        <w:t xml:space="preserve"> % </w:t>
      </w:r>
      <w:r w:rsidRPr="003650BD">
        <w:rPr>
          <w:rFonts w:ascii="Times New Roman" w:hAnsi="Times New Roman"/>
          <w:bCs/>
          <w:sz w:val="24"/>
          <w:szCs w:val="24"/>
        </w:rPr>
        <w:t>от</w:t>
      </w:r>
      <w:r w:rsidRPr="003650BD">
        <w:rPr>
          <w:rFonts w:ascii="Times New Roman" w:hAnsi="Times New Roman"/>
          <w:b/>
          <w:bCs/>
          <w:sz w:val="24"/>
          <w:szCs w:val="24"/>
        </w:rPr>
        <w:t xml:space="preserve"> </w:t>
      </w:r>
      <w:r w:rsidRPr="003650BD">
        <w:rPr>
          <w:rFonts w:ascii="Times New Roman" w:hAnsi="Times New Roman"/>
          <w:bCs/>
          <w:sz w:val="24"/>
          <w:szCs w:val="24"/>
        </w:rPr>
        <w:t>бюджета на програмата.</w:t>
      </w:r>
    </w:p>
    <w:p w:rsidR="00787F38" w:rsidRPr="003650BD" w:rsidRDefault="00787F38" w:rsidP="003650BD">
      <w:pPr>
        <w:numPr>
          <w:ilvl w:val="0"/>
          <w:numId w:val="24"/>
        </w:numPr>
        <w:spacing w:after="0" w:line="360" w:lineRule="auto"/>
        <w:contextualSpacing/>
        <w:jc w:val="both"/>
        <w:rPr>
          <w:rFonts w:ascii="Times New Roman" w:hAnsi="Times New Roman"/>
          <w:bCs/>
          <w:sz w:val="24"/>
          <w:szCs w:val="24"/>
        </w:rPr>
      </w:pPr>
      <w:r w:rsidRPr="003650BD">
        <w:rPr>
          <w:rFonts w:ascii="Times New Roman" w:hAnsi="Times New Roman"/>
          <w:bCs/>
          <w:sz w:val="24"/>
          <w:szCs w:val="24"/>
        </w:rPr>
        <w:t xml:space="preserve">Общо бяха изплатени средства към бенефициентите в размер на </w:t>
      </w:r>
      <w:r w:rsidRPr="003650BD">
        <w:rPr>
          <w:rFonts w:ascii="Times New Roman" w:hAnsi="Times New Roman"/>
          <w:b/>
          <w:bCs/>
          <w:sz w:val="24"/>
          <w:szCs w:val="24"/>
        </w:rPr>
        <w:t>3,3 млрд. лв.</w:t>
      </w:r>
      <w:r w:rsidRPr="003650BD">
        <w:rPr>
          <w:rFonts w:ascii="Times New Roman" w:hAnsi="Times New Roman"/>
          <w:bCs/>
          <w:sz w:val="24"/>
          <w:szCs w:val="24"/>
        </w:rPr>
        <w:t xml:space="preserve"> </w:t>
      </w:r>
    </w:p>
    <w:p w:rsidR="00787F38" w:rsidRPr="003650BD" w:rsidRDefault="00787F38" w:rsidP="003650BD">
      <w:pPr>
        <w:spacing w:after="0" w:line="360" w:lineRule="auto"/>
        <w:jc w:val="both"/>
        <w:rPr>
          <w:rFonts w:ascii="Times New Roman" w:hAnsi="Times New Roman"/>
          <w:b/>
          <w:bCs/>
          <w:sz w:val="24"/>
          <w:szCs w:val="24"/>
          <w:lang w:val="ru-RU"/>
        </w:rPr>
      </w:pPr>
    </w:p>
    <w:p w:rsidR="00787F38" w:rsidRPr="003650BD" w:rsidRDefault="00787F38" w:rsidP="003650BD">
      <w:pPr>
        <w:spacing w:after="0" w:line="360" w:lineRule="auto"/>
        <w:ind w:firstLine="708"/>
        <w:jc w:val="both"/>
        <w:rPr>
          <w:rFonts w:ascii="Times New Roman" w:hAnsi="Times New Roman"/>
          <w:b/>
          <w:bCs/>
          <w:sz w:val="24"/>
          <w:szCs w:val="24"/>
        </w:rPr>
      </w:pPr>
      <w:r w:rsidRPr="003650BD">
        <w:rPr>
          <w:rFonts w:ascii="Times New Roman" w:hAnsi="Times New Roman"/>
          <w:b/>
          <w:bCs/>
          <w:sz w:val="24"/>
          <w:szCs w:val="24"/>
        </w:rPr>
        <w:t>През отчетния период:</w:t>
      </w:r>
    </w:p>
    <w:p w:rsidR="00787F38" w:rsidRPr="003650BD" w:rsidRDefault="00787F38" w:rsidP="003650BD">
      <w:pPr>
        <w:numPr>
          <w:ilvl w:val="0"/>
          <w:numId w:val="25"/>
        </w:numPr>
        <w:spacing w:after="0" w:line="360" w:lineRule="auto"/>
        <w:ind w:left="709"/>
        <w:contextualSpacing/>
        <w:jc w:val="both"/>
        <w:rPr>
          <w:rFonts w:ascii="Times New Roman" w:hAnsi="Times New Roman"/>
          <w:bCs/>
          <w:sz w:val="24"/>
          <w:szCs w:val="24"/>
        </w:rPr>
      </w:pPr>
      <w:r w:rsidRPr="003650BD">
        <w:rPr>
          <w:rFonts w:ascii="Times New Roman" w:hAnsi="Times New Roman"/>
          <w:b/>
          <w:bCs/>
          <w:sz w:val="24"/>
          <w:szCs w:val="24"/>
        </w:rPr>
        <w:lastRenderedPageBreak/>
        <w:t>Приключени</w:t>
      </w:r>
      <w:r w:rsidRPr="003650BD">
        <w:rPr>
          <w:rFonts w:ascii="Times New Roman" w:hAnsi="Times New Roman"/>
          <w:bCs/>
          <w:sz w:val="24"/>
          <w:szCs w:val="24"/>
        </w:rPr>
        <w:t xml:space="preserve"> са </w:t>
      </w:r>
      <w:r w:rsidRPr="003650BD">
        <w:rPr>
          <w:rFonts w:ascii="Times New Roman" w:hAnsi="Times New Roman"/>
          <w:b/>
          <w:bCs/>
          <w:sz w:val="24"/>
          <w:szCs w:val="24"/>
        </w:rPr>
        <w:t>1104 бр. проекта</w:t>
      </w:r>
      <w:r w:rsidRPr="003650BD">
        <w:rPr>
          <w:rFonts w:ascii="Times New Roman" w:hAnsi="Times New Roman"/>
          <w:bCs/>
          <w:sz w:val="24"/>
          <w:szCs w:val="24"/>
        </w:rPr>
        <w:t>, подобряващи градската среда, регионална инфраструктура и привлекателността на градовете;</w:t>
      </w:r>
    </w:p>
    <w:p w:rsidR="00787F38" w:rsidRPr="003650BD" w:rsidRDefault="00787F38" w:rsidP="003650BD">
      <w:pPr>
        <w:numPr>
          <w:ilvl w:val="0"/>
          <w:numId w:val="25"/>
        </w:numPr>
        <w:spacing w:after="0" w:line="360" w:lineRule="auto"/>
        <w:ind w:left="709"/>
        <w:contextualSpacing/>
        <w:jc w:val="both"/>
        <w:rPr>
          <w:rFonts w:ascii="Times New Roman" w:hAnsi="Times New Roman"/>
          <w:bCs/>
          <w:sz w:val="24"/>
          <w:szCs w:val="24"/>
        </w:rPr>
      </w:pPr>
      <w:r w:rsidRPr="003650BD">
        <w:rPr>
          <w:rFonts w:ascii="Times New Roman" w:hAnsi="Times New Roman"/>
          <w:b/>
          <w:bCs/>
          <w:sz w:val="24"/>
          <w:szCs w:val="24"/>
        </w:rPr>
        <w:t xml:space="preserve">Обновени </w:t>
      </w:r>
      <w:r w:rsidRPr="003650BD">
        <w:rPr>
          <w:rFonts w:ascii="Times New Roman" w:hAnsi="Times New Roman"/>
          <w:bCs/>
          <w:sz w:val="24"/>
          <w:szCs w:val="24"/>
        </w:rPr>
        <w:t>са</w:t>
      </w:r>
      <w:r w:rsidRPr="003650BD">
        <w:rPr>
          <w:rFonts w:ascii="Times New Roman" w:hAnsi="Times New Roman"/>
          <w:b/>
          <w:bCs/>
          <w:sz w:val="24"/>
          <w:szCs w:val="24"/>
        </w:rPr>
        <w:t xml:space="preserve"> 1100 сгради</w:t>
      </w:r>
      <w:r w:rsidRPr="003650BD">
        <w:rPr>
          <w:rFonts w:ascii="Times New Roman" w:hAnsi="Times New Roman"/>
          <w:bCs/>
          <w:sz w:val="24"/>
          <w:szCs w:val="24"/>
        </w:rPr>
        <w:t xml:space="preserve"> на образователната, социалната и културната инфраструктура;</w:t>
      </w:r>
    </w:p>
    <w:p w:rsidR="00787F38" w:rsidRPr="003650BD" w:rsidRDefault="00787F38" w:rsidP="003650BD">
      <w:pPr>
        <w:numPr>
          <w:ilvl w:val="0"/>
          <w:numId w:val="25"/>
        </w:numPr>
        <w:spacing w:after="0" w:line="360" w:lineRule="auto"/>
        <w:ind w:left="709"/>
        <w:contextualSpacing/>
        <w:jc w:val="both"/>
        <w:rPr>
          <w:rFonts w:ascii="Times New Roman" w:hAnsi="Times New Roman"/>
          <w:bCs/>
          <w:sz w:val="24"/>
          <w:szCs w:val="24"/>
        </w:rPr>
      </w:pPr>
      <w:r w:rsidRPr="003650BD">
        <w:rPr>
          <w:rFonts w:ascii="Times New Roman" w:hAnsi="Times New Roman"/>
          <w:b/>
          <w:bCs/>
          <w:sz w:val="24"/>
          <w:szCs w:val="24"/>
        </w:rPr>
        <w:t>Рехабилитирани и въведени в експлоатация са над 930 км. пътни участъци</w:t>
      </w:r>
      <w:r w:rsidRPr="003650BD">
        <w:rPr>
          <w:rFonts w:ascii="Times New Roman" w:hAnsi="Times New Roman"/>
          <w:bCs/>
          <w:sz w:val="24"/>
          <w:szCs w:val="24"/>
        </w:rPr>
        <w:t xml:space="preserve"> (второкласна, третокласна пътна мрежа);</w:t>
      </w:r>
    </w:p>
    <w:p w:rsidR="00787F38" w:rsidRPr="003650BD" w:rsidRDefault="00787F38" w:rsidP="003650BD">
      <w:pPr>
        <w:numPr>
          <w:ilvl w:val="0"/>
          <w:numId w:val="25"/>
        </w:numPr>
        <w:spacing w:after="0" w:line="360" w:lineRule="auto"/>
        <w:ind w:left="709"/>
        <w:contextualSpacing/>
        <w:jc w:val="both"/>
        <w:rPr>
          <w:rFonts w:ascii="Times New Roman" w:hAnsi="Times New Roman"/>
          <w:bCs/>
          <w:sz w:val="24"/>
          <w:szCs w:val="24"/>
        </w:rPr>
      </w:pPr>
      <w:r w:rsidRPr="003650BD">
        <w:rPr>
          <w:rFonts w:ascii="Times New Roman" w:hAnsi="Times New Roman"/>
          <w:bCs/>
          <w:sz w:val="24"/>
          <w:szCs w:val="24"/>
        </w:rPr>
        <w:t>Осъществена е подкрепа за 253 туристически атракции и продукти ;</w:t>
      </w:r>
    </w:p>
    <w:p w:rsidR="00787F38" w:rsidRPr="003650BD" w:rsidRDefault="00787F38" w:rsidP="003650BD">
      <w:pPr>
        <w:numPr>
          <w:ilvl w:val="0"/>
          <w:numId w:val="25"/>
        </w:numPr>
        <w:spacing w:after="0" w:line="360" w:lineRule="auto"/>
        <w:ind w:left="709"/>
        <w:contextualSpacing/>
        <w:jc w:val="both"/>
        <w:rPr>
          <w:rFonts w:ascii="Times New Roman" w:hAnsi="Times New Roman"/>
          <w:bCs/>
          <w:sz w:val="24"/>
          <w:szCs w:val="24"/>
        </w:rPr>
      </w:pPr>
      <w:r w:rsidRPr="003650BD">
        <w:rPr>
          <w:rFonts w:ascii="Times New Roman" w:hAnsi="Times New Roman"/>
          <w:bCs/>
          <w:sz w:val="24"/>
          <w:szCs w:val="24"/>
        </w:rPr>
        <w:t xml:space="preserve">В подкрепа на процеса по деинституционализация на социални услуги за деца в риск са </w:t>
      </w:r>
      <w:r w:rsidRPr="003650BD">
        <w:rPr>
          <w:rFonts w:ascii="Times New Roman" w:hAnsi="Times New Roman"/>
          <w:b/>
          <w:bCs/>
          <w:sz w:val="24"/>
          <w:szCs w:val="24"/>
        </w:rPr>
        <w:t>изградени, оборудвани и обзаведени 132 бр. центрове за настаняване от семеен тип</w:t>
      </w:r>
      <w:r w:rsidRPr="003650BD">
        <w:rPr>
          <w:rFonts w:ascii="Times New Roman" w:hAnsi="Times New Roman"/>
          <w:bCs/>
          <w:sz w:val="24"/>
          <w:szCs w:val="24"/>
        </w:rPr>
        <w:t>;</w:t>
      </w:r>
    </w:p>
    <w:p w:rsidR="00787F38" w:rsidRPr="003650BD" w:rsidRDefault="00787F38" w:rsidP="003650BD">
      <w:pPr>
        <w:numPr>
          <w:ilvl w:val="0"/>
          <w:numId w:val="25"/>
        </w:numPr>
        <w:spacing w:after="0" w:line="360" w:lineRule="auto"/>
        <w:ind w:left="709"/>
        <w:contextualSpacing/>
        <w:jc w:val="both"/>
        <w:rPr>
          <w:rFonts w:ascii="Times New Roman" w:hAnsi="Times New Roman"/>
          <w:bCs/>
          <w:sz w:val="24"/>
          <w:szCs w:val="24"/>
        </w:rPr>
      </w:pPr>
      <w:r w:rsidRPr="003650BD">
        <w:rPr>
          <w:rFonts w:ascii="Times New Roman" w:hAnsi="Times New Roman"/>
          <w:bCs/>
          <w:sz w:val="24"/>
          <w:szCs w:val="24"/>
        </w:rPr>
        <w:t>Осигурените са 334 индивидуални социални жилища;</w:t>
      </w:r>
    </w:p>
    <w:p w:rsidR="00787F38" w:rsidRPr="003650BD" w:rsidRDefault="00787F38" w:rsidP="003650BD">
      <w:pPr>
        <w:numPr>
          <w:ilvl w:val="0"/>
          <w:numId w:val="25"/>
        </w:numPr>
        <w:spacing w:after="0" w:line="360" w:lineRule="auto"/>
        <w:ind w:left="709"/>
        <w:contextualSpacing/>
        <w:jc w:val="both"/>
        <w:rPr>
          <w:rFonts w:ascii="Times New Roman" w:hAnsi="Times New Roman"/>
          <w:bCs/>
          <w:sz w:val="24"/>
          <w:szCs w:val="24"/>
        </w:rPr>
      </w:pPr>
      <w:r w:rsidRPr="003650BD">
        <w:rPr>
          <w:rFonts w:ascii="Times New Roman" w:hAnsi="Times New Roman"/>
          <w:bCs/>
          <w:sz w:val="24"/>
          <w:szCs w:val="24"/>
        </w:rPr>
        <w:t xml:space="preserve">Подобрена е инфраструктурата на </w:t>
      </w:r>
      <w:r w:rsidRPr="003650BD">
        <w:rPr>
          <w:rFonts w:ascii="Times New Roman" w:hAnsi="Times New Roman"/>
          <w:b/>
          <w:bCs/>
          <w:sz w:val="24"/>
          <w:szCs w:val="24"/>
        </w:rPr>
        <w:t>66 сгради на здравната инфраструктура, закупено е високотехнологично оборудване на стойност 288 млн. лв.</w:t>
      </w:r>
      <w:r w:rsidRPr="003650BD">
        <w:rPr>
          <w:rFonts w:ascii="Times New Roman" w:hAnsi="Times New Roman"/>
          <w:bCs/>
          <w:sz w:val="24"/>
          <w:szCs w:val="24"/>
        </w:rPr>
        <w:t>;</w:t>
      </w:r>
    </w:p>
    <w:p w:rsidR="00787F38" w:rsidRPr="003650BD" w:rsidRDefault="00787F38" w:rsidP="003650BD">
      <w:pPr>
        <w:numPr>
          <w:ilvl w:val="0"/>
          <w:numId w:val="25"/>
        </w:numPr>
        <w:spacing w:after="0" w:line="360" w:lineRule="auto"/>
        <w:ind w:left="709"/>
        <w:contextualSpacing/>
        <w:jc w:val="both"/>
        <w:rPr>
          <w:rFonts w:ascii="Times New Roman" w:hAnsi="Times New Roman"/>
          <w:bCs/>
          <w:sz w:val="24"/>
          <w:szCs w:val="24"/>
        </w:rPr>
      </w:pPr>
      <w:r w:rsidRPr="003650BD">
        <w:rPr>
          <w:rFonts w:ascii="Times New Roman" w:hAnsi="Times New Roman"/>
          <w:b/>
          <w:bCs/>
          <w:sz w:val="24"/>
          <w:szCs w:val="24"/>
        </w:rPr>
        <w:t>Подобрени са 4,7 млн. кв. м. паркова среда</w:t>
      </w:r>
      <w:r w:rsidRPr="003650BD">
        <w:rPr>
          <w:rFonts w:ascii="Times New Roman" w:hAnsi="Times New Roman"/>
          <w:bCs/>
          <w:sz w:val="24"/>
          <w:szCs w:val="24"/>
        </w:rPr>
        <w:t>, озеленени площи, детски площадки, а населението, облагодетелствано от обновена градска среда, е 4,4 млн. души;</w:t>
      </w:r>
    </w:p>
    <w:p w:rsidR="00787F38" w:rsidRPr="003650BD" w:rsidRDefault="00787F38" w:rsidP="003650BD">
      <w:pPr>
        <w:numPr>
          <w:ilvl w:val="0"/>
          <w:numId w:val="25"/>
        </w:numPr>
        <w:spacing w:after="0" w:line="360" w:lineRule="auto"/>
        <w:ind w:left="709"/>
        <w:contextualSpacing/>
        <w:jc w:val="both"/>
        <w:rPr>
          <w:rFonts w:ascii="Times New Roman" w:hAnsi="Times New Roman"/>
          <w:bCs/>
          <w:sz w:val="24"/>
          <w:szCs w:val="24"/>
        </w:rPr>
      </w:pPr>
      <w:r w:rsidRPr="003650BD">
        <w:rPr>
          <w:rFonts w:ascii="Times New Roman" w:hAnsi="Times New Roman"/>
          <w:b/>
          <w:bCs/>
          <w:sz w:val="24"/>
          <w:szCs w:val="24"/>
        </w:rPr>
        <w:t xml:space="preserve">Приключени </w:t>
      </w:r>
      <w:r w:rsidRPr="003650BD">
        <w:rPr>
          <w:rFonts w:ascii="Times New Roman" w:hAnsi="Times New Roman"/>
          <w:bCs/>
          <w:sz w:val="24"/>
          <w:szCs w:val="24"/>
        </w:rPr>
        <w:t>са</w:t>
      </w:r>
      <w:r w:rsidRPr="003650BD">
        <w:rPr>
          <w:rFonts w:ascii="Times New Roman" w:hAnsi="Times New Roman"/>
          <w:b/>
          <w:bCs/>
          <w:sz w:val="24"/>
          <w:szCs w:val="24"/>
        </w:rPr>
        <w:t xml:space="preserve"> проекти за интегриран градски транспорт</w:t>
      </w:r>
      <w:r w:rsidRPr="003650BD">
        <w:rPr>
          <w:rFonts w:ascii="Times New Roman" w:hAnsi="Times New Roman"/>
          <w:bCs/>
          <w:sz w:val="24"/>
          <w:szCs w:val="24"/>
        </w:rPr>
        <w:t xml:space="preserve"> на  шестте големи града в страната (</w:t>
      </w:r>
      <w:r w:rsidRPr="003650BD">
        <w:rPr>
          <w:rFonts w:ascii="Times New Roman" w:hAnsi="Times New Roman"/>
          <w:b/>
          <w:bCs/>
          <w:sz w:val="24"/>
          <w:szCs w:val="24"/>
        </w:rPr>
        <w:t>Варна, Бургас, Стара Загора, Пловдив, Плевен, Русе</w:t>
      </w:r>
      <w:r w:rsidRPr="003650BD">
        <w:rPr>
          <w:rFonts w:ascii="Times New Roman" w:hAnsi="Times New Roman"/>
          <w:bCs/>
          <w:sz w:val="24"/>
          <w:szCs w:val="24"/>
        </w:rPr>
        <w:t>). Проектът за интегриран градски транспорт в гр. София в основната си част е приключен, като малка част от дейностите ще бъдат довършени със средства на бенефициента, което ще е обект на проверка от страна на УО. В резултат от реализираните проекти допълнителното население, обслужвано с подобрен градски транспорт, е 275 хил. души;  закупени са 256 бр. нови транспортни средства за обществен градски транспорт;</w:t>
      </w:r>
    </w:p>
    <w:p w:rsidR="00787F38" w:rsidRPr="003650BD" w:rsidRDefault="00787F38" w:rsidP="003650BD">
      <w:pPr>
        <w:numPr>
          <w:ilvl w:val="0"/>
          <w:numId w:val="25"/>
        </w:numPr>
        <w:spacing w:after="0" w:line="360" w:lineRule="auto"/>
        <w:ind w:left="709"/>
        <w:contextualSpacing/>
        <w:jc w:val="both"/>
        <w:rPr>
          <w:rFonts w:ascii="Times New Roman" w:hAnsi="Times New Roman"/>
          <w:bCs/>
          <w:sz w:val="24"/>
          <w:szCs w:val="24"/>
        </w:rPr>
      </w:pPr>
      <w:r w:rsidRPr="003650BD">
        <w:rPr>
          <w:rFonts w:ascii="Times New Roman" w:hAnsi="Times New Roman"/>
          <w:b/>
          <w:bCs/>
          <w:sz w:val="24"/>
          <w:szCs w:val="24"/>
        </w:rPr>
        <w:t xml:space="preserve">Сертифицирани разходи в </w:t>
      </w:r>
      <w:r>
        <w:rPr>
          <w:rFonts w:ascii="Times New Roman" w:hAnsi="Times New Roman"/>
          <w:b/>
          <w:bCs/>
          <w:sz w:val="24"/>
          <w:szCs w:val="24"/>
        </w:rPr>
        <w:t>размер на 1,32 млрд. лв. или 42</w:t>
      </w:r>
      <w:r w:rsidRPr="003650BD">
        <w:rPr>
          <w:rFonts w:ascii="Times New Roman" w:hAnsi="Times New Roman"/>
          <w:b/>
          <w:bCs/>
          <w:sz w:val="24"/>
          <w:szCs w:val="24"/>
        </w:rPr>
        <w:t xml:space="preserve"> % от бюджета на програмата.</w:t>
      </w:r>
    </w:p>
    <w:p w:rsidR="00787F38" w:rsidRPr="003650BD" w:rsidRDefault="00787F38" w:rsidP="003650BD">
      <w:pPr>
        <w:numPr>
          <w:ilvl w:val="0"/>
          <w:numId w:val="25"/>
        </w:numPr>
        <w:spacing w:after="0" w:line="360" w:lineRule="auto"/>
        <w:ind w:left="709"/>
        <w:contextualSpacing/>
        <w:jc w:val="both"/>
        <w:rPr>
          <w:rFonts w:ascii="Times New Roman" w:hAnsi="Times New Roman"/>
          <w:bCs/>
          <w:sz w:val="24"/>
          <w:szCs w:val="24"/>
        </w:rPr>
      </w:pPr>
      <w:r w:rsidRPr="003650BD">
        <w:rPr>
          <w:rFonts w:ascii="Times New Roman" w:hAnsi="Times New Roman"/>
          <w:b/>
          <w:bCs/>
          <w:sz w:val="24"/>
          <w:szCs w:val="24"/>
        </w:rPr>
        <w:t>Изплатените средства към бенефициенти</w:t>
      </w:r>
      <w:r w:rsidRPr="003650BD">
        <w:rPr>
          <w:rFonts w:ascii="Times New Roman" w:hAnsi="Times New Roman"/>
          <w:bCs/>
          <w:sz w:val="24"/>
          <w:szCs w:val="24"/>
        </w:rPr>
        <w:t xml:space="preserve"> в размер на над </w:t>
      </w:r>
      <w:r w:rsidRPr="003650BD">
        <w:rPr>
          <w:rFonts w:ascii="Times New Roman" w:hAnsi="Times New Roman"/>
          <w:bCs/>
          <w:sz w:val="24"/>
          <w:szCs w:val="24"/>
          <w:lang w:val="ru-RU"/>
        </w:rPr>
        <w:t xml:space="preserve"> </w:t>
      </w:r>
      <w:r w:rsidRPr="003650BD">
        <w:rPr>
          <w:rFonts w:ascii="Times New Roman" w:hAnsi="Times New Roman"/>
          <w:b/>
          <w:bCs/>
          <w:sz w:val="24"/>
          <w:szCs w:val="24"/>
          <w:lang w:val="ru-RU"/>
        </w:rPr>
        <w:t>877</w:t>
      </w:r>
      <w:r w:rsidRPr="003650BD">
        <w:rPr>
          <w:rFonts w:ascii="Times New Roman" w:hAnsi="Times New Roman"/>
          <w:bCs/>
          <w:sz w:val="24"/>
          <w:szCs w:val="24"/>
          <w:lang w:val="ru-RU"/>
        </w:rPr>
        <w:t xml:space="preserve"> </w:t>
      </w:r>
      <w:r w:rsidRPr="003650BD">
        <w:rPr>
          <w:rFonts w:ascii="Times New Roman" w:hAnsi="Times New Roman"/>
          <w:b/>
          <w:bCs/>
          <w:sz w:val="24"/>
          <w:szCs w:val="24"/>
        </w:rPr>
        <w:t>млн. лв.,</w:t>
      </w:r>
      <w:r w:rsidRPr="003650BD">
        <w:rPr>
          <w:rFonts w:ascii="Times New Roman" w:hAnsi="Times New Roman"/>
          <w:bCs/>
          <w:sz w:val="24"/>
          <w:szCs w:val="24"/>
        </w:rPr>
        <w:t xml:space="preserve"> в т.ч. 13 млн. лв. други публични средства.</w:t>
      </w:r>
    </w:p>
    <w:p w:rsidR="00787F38" w:rsidRPr="00964DA1" w:rsidRDefault="00787F38" w:rsidP="00410C1F">
      <w:pPr>
        <w:spacing w:after="0" w:line="360" w:lineRule="auto"/>
        <w:jc w:val="both"/>
        <w:rPr>
          <w:rFonts w:ascii="Times New Roman" w:hAnsi="Times New Roman"/>
          <w:bCs/>
          <w:sz w:val="24"/>
          <w:szCs w:val="24"/>
        </w:rPr>
      </w:pPr>
    </w:p>
    <w:p w:rsidR="00787F38" w:rsidRPr="00964DA1" w:rsidRDefault="00787F38" w:rsidP="00BE092D">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bCs/>
          <w:sz w:val="24"/>
          <w:szCs w:val="24"/>
        </w:rPr>
      </w:pPr>
      <w:r w:rsidRPr="00964DA1">
        <w:rPr>
          <w:rFonts w:ascii="Times New Roman" w:hAnsi="Times New Roman"/>
          <w:b/>
          <w:bCs/>
          <w:sz w:val="24"/>
          <w:szCs w:val="24"/>
        </w:rPr>
        <w:t>ОП „Региони в растеж“ 2014-2020</w:t>
      </w:r>
    </w:p>
    <w:p w:rsidR="00787F38" w:rsidRPr="00964DA1" w:rsidRDefault="00787F38" w:rsidP="00AE3413">
      <w:pPr>
        <w:spacing w:after="0" w:line="360" w:lineRule="auto"/>
        <w:jc w:val="both"/>
        <w:rPr>
          <w:rFonts w:ascii="Times New Roman" w:hAnsi="Times New Roman"/>
          <w:bCs/>
          <w:sz w:val="24"/>
          <w:szCs w:val="24"/>
        </w:rPr>
      </w:pPr>
    </w:p>
    <w:p w:rsidR="00787F38" w:rsidRPr="00964DA1" w:rsidRDefault="00787F38" w:rsidP="00023914">
      <w:pPr>
        <w:spacing w:after="0" w:line="360" w:lineRule="auto"/>
        <w:ind w:firstLine="708"/>
        <w:jc w:val="both"/>
        <w:rPr>
          <w:rFonts w:ascii="Times New Roman" w:hAnsi="Times New Roman"/>
          <w:bCs/>
          <w:sz w:val="24"/>
          <w:szCs w:val="24"/>
        </w:rPr>
      </w:pPr>
      <w:r w:rsidRPr="00964DA1">
        <w:rPr>
          <w:rFonts w:ascii="Times New Roman" w:hAnsi="Times New Roman"/>
          <w:bCs/>
          <w:sz w:val="24"/>
          <w:szCs w:val="24"/>
        </w:rPr>
        <w:t xml:space="preserve">Напълно беше наваксано закъснението в одобряването на Оперативна програма „Региони в растеж“ 2014 </w:t>
      </w:r>
      <w:r>
        <w:rPr>
          <w:rFonts w:ascii="Times New Roman" w:hAnsi="Times New Roman"/>
          <w:bCs/>
          <w:sz w:val="24"/>
          <w:szCs w:val="24"/>
        </w:rPr>
        <w:t>–</w:t>
      </w:r>
      <w:r w:rsidRPr="00964DA1">
        <w:rPr>
          <w:rFonts w:ascii="Times New Roman" w:hAnsi="Times New Roman"/>
          <w:bCs/>
          <w:sz w:val="24"/>
          <w:szCs w:val="24"/>
        </w:rPr>
        <w:t xml:space="preserve"> 2020</w:t>
      </w:r>
      <w:r>
        <w:rPr>
          <w:rFonts w:ascii="Times New Roman" w:hAnsi="Times New Roman"/>
          <w:bCs/>
          <w:sz w:val="24"/>
          <w:szCs w:val="24"/>
        </w:rPr>
        <w:t xml:space="preserve"> г.</w:t>
      </w:r>
      <w:r w:rsidRPr="00964DA1">
        <w:rPr>
          <w:rFonts w:ascii="Times New Roman" w:hAnsi="Times New Roman"/>
          <w:bCs/>
          <w:sz w:val="24"/>
          <w:szCs w:val="24"/>
        </w:rPr>
        <w:t>, допуснато по време на правителството „Орешарски“:</w:t>
      </w:r>
    </w:p>
    <w:p w:rsidR="00787F38" w:rsidRPr="00964DA1" w:rsidRDefault="00787F38" w:rsidP="00023914">
      <w:pPr>
        <w:spacing w:after="0" w:line="360" w:lineRule="auto"/>
        <w:ind w:firstLine="708"/>
        <w:jc w:val="both"/>
        <w:rPr>
          <w:rFonts w:ascii="Times New Roman" w:hAnsi="Times New Roman"/>
          <w:bCs/>
          <w:sz w:val="24"/>
          <w:szCs w:val="24"/>
        </w:rPr>
      </w:pPr>
    </w:p>
    <w:p w:rsidR="00787F38" w:rsidRPr="00964DA1" w:rsidRDefault="00787F38" w:rsidP="00023914">
      <w:pPr>
        <w:pStyle w:val="ListParagraph"/>
        <w:numPr>
          <w:ilvl w:val="0"/>
          <w:numId w:val="27"/>
        </w:numPr>
        <w:spacing w:after="0" w:line="360" w:lineRule="auto"/>
        <w:jc w:val="both"/>
        <w:rPr>
          <w:rFonts w:ascii="Times New Roman" w:hAnsi="Times New Roman"/>
          <w:sz w:val="24"/>
          <w:szCs w:val="24"/>
        </w:rPr>
      </w:pPr>
      <w:r w:rsidRPr="00964DA1">
        <w:rPr>
          <w:rFonts w:ascii="Times New Roman" w:hAnsi="Times New Roman"/>
          <w:b/>
          <w:sz w:val="24"/>
          <w:szCs w:val="24"/>
        </w:rPr>
        <w:t xml:space="preserve">1,4 млрд. лв. ще бъдат инвестирани за градска среда в рамките на 39-те инвестиционни програми на общините – бенефициенти </w:t>
      </w:r>
      <w:r w:rsidRPr="00964DA1">
        <w:rPr>
          <w:rFonts w:ascii="Times New Roman" w:hAnsi="Times New Roman"/>
          <w:bCs/>
          <w:sz w:val="24"/>
          <w:szCs w:val="24"/>
        </w:rPr>
        <w:t>по приоритетна ос 1 (Столична община, Варна, Пловдив, Бургас, Русе, Стара Загора, Плевен, Благоевград, Велико Търново, Видин, Добрич, Хасково, Пазарджик, Шумен, Сливен, Габрово, Ямбол, Перник, Враца, Ловеч, Кърджали, Смолян, Разград, Казанлък, Асеновград, Монтана, Горна Оряховица, Гоце Делчев, Дупница, Кюстендил, Силистра, Димитровград, Търговище, Лом, Петрич, Свищов, Велинград, Карлово, Панагюрище) и техните инвестиционни програми за изпълнение на политиката по градско развитие. Като такива общините могат сами да оценяват и одобряват предложените за финансиране проекти;</w:t>
      </w:r>
      <w:r w:rsidRPr="00964DA1">
        <w:rPr>
          <w:rFonts w:ascii="Times New Roman" w:hAnsi="Times New Roman"/>
          <w:sz w:val="24"/>
          <w:szCs w:val="24"/>
        </w:rPr>
        <w:t xml:space="preserve"> </w:t>
      </w:r>
    </w:p>
    <w:p w:rsidR="00787F38" w:rsidRPr="00964DA1" w:rsidRDefault="00787F38" w:rsidP="00023914">
      <w:pPr>
        <w:pStyle w:val="ListParagraph"/>
        <w:numPr>
          <w:ilvl w:val="0"/>
          <w:numId w:val="26"/>
        </w:numPr>
        <w:spacing w:after="0" w:line="360" w:lineRule="auto"/>
        <w:jc w:val="both"/>
        <w:rPr>
          <w:rFonts w:ascii="Times New Roman" w:hAnsi="Times New Roman"/>
          <w:sz w:val="24"/>
          <w:szCs w:val="24"/>
        </w:rPr>
      </w:pPr>
      <w:r w:rsidRPr="00964DA1">
        <w:rPr>
          <w:rFonts w:ascii="Times New Roman" w:hAnsi="Times New Roman"/>
          <w:b/>
          <w:sz w:val="24"/>
          <w:szCs w:val="24"/>
        </w:rPr>
        <w:t>Одобрени са инвестиционните програми на всички общини и те вече реализират своите проекти;</w:t>
      </w:r>
    </w:p>
    <w:p w:rsidR="00787F38" w:rsidRPr="00964DA1" w:rsidRDefault="00787F38" w:rsidP="00023914">
      <w:pPr>
        <w:pStyle w:val="ListParagraph"/>
        <w:numPr>
          <w:ilvl w:val="0"/>
          <w:numId w:val="26"/>
        </w:numPr>
        <w:spacing w:after="0" w:line="360" w:lineRule="auto"/>
        <w:jc w:val="both"/>
        <w:rPr>
          <w:rFonts w:ascii="Times New Roman" w:hAnsi="Times New Roman"/>
          <w:bCs/>
          <w:sz w:val="24"/>
          <w:szCs w:val="24"/>
        </w:rPr>
      </w:pPr>
      <w:r w:rsidRPr="00964DA1">
        <w:rPr>
          <w:rFonts w:ascii="Times New Roman" w:hAnsi="Times New Roman"/>
          <w:b/>
          <w:bCs/>
          <w:sz w:val="24"/>
          <w:szCs w:val="24"/>
        </w:rPr>
        <w:t>О</w:t>
      </w:r>
      <w:r w:rsidRPr="00964DA1">
        <w:rPr>
          <w:rFonts w:ascii="Times New Roman" w:hAnsi="Times New Roman"/>
          <w:b/>
          <w:sz w:val="24"/>
          <w:szCs w:val="24"/>
        </w:rPr>
        <w:t>бявени са 11 процедури</w:t>
      </w:r>
      <w:r w:rsidRPr="00964DA1">
        <w:rPr>
          <w:rFonts w:ascii="Times New Roman" w:hAnsi="Times New Roman"/>
          <w:sz w:val="24"/>
          <w:szCs w:val="24"/>
        </w:rPr>
        <w:t xml:space="preserve"> за предоставяне на безвъзмездна финансова помощ (БФП) на обща стойност </w:t>
      </w:r>
      <w:r w:rsidRPr="00964DA1">
        <w:rPr>
          <w:rFonts w:ascii="Times New Roman" w:hAnsi="Times New Roman"/>
          <w:b/>
          <w:sz w:val="24"/>
          <w:szCs w:val="24"/>
        </w:rPr>
        <w:t>2,3 млрд. лв.</w:t>
      </w:r>
      <w:r w:rsidRPr="00964DA1">
        <w:rPr>
          <w:rFonts w:ascii="Times New Roman" w:hAnsi="Times New Roman"/>
          <w:sz w:val="24"/>
          <w:szCs w:val="24"/>
        </w:rPr>
        <w:t xml:space="preserve"> или </w:t>
      </w:r>
      <w:r w:rsidRPr="00964DA1">
        <w:rPr>
          <w:rFonts w:ascii="Times New Roman" w:hAnsi="Times New Roman"/>
          <w:b/>
          <w:sz w:val="24"/>
          <w:szCs w:val="24"/>
        </w:rPr>
        <w:t>76% от бюджета</w:t>
      </w:r>
      <w:r w:rsidRPr="00964DA1">
        <w:rPr>
          <w:rFonts w:ascii="Times New Roman" w:hAnsi="Times New Roman"/>
          <w:sz w:val="24"/>
          <w:szCs w:val="24"/>
        </w:rPr>
        <w:t xml:space="preserve"> на програмата;</w:t>
      </w:r>
    </w:p>
    <w:p w:rsidR="00787F38" w:rsidRPr="00964DA1" w:rsidRDefault="00787F38" w:rsidP="00023914">
      <w:pPr>
        <w:pStyle w:val="ListParagraph"/>
        <w:numPr>
          <w:ilvl w:val="0"/>
          <w:numId w:val="26"/>
        </w:numPr>
        <w:spacing w:after="0" w:line="360" w:lineRule="auto"/>
        <w:jc w:val="both"/>
        <w:rPr>
          <w:rFonts w:ascii="Times New Roman" w:hAnsi="Times New Roman"/>
          <w:sz w:val="24"/>
          <w:szCs w:val="24"/>
        </w:rPr>
      </w:pPr>
      <w:r w:rsidRPr="00964DA1">
        <w:rPr>
          <w:rFonts w:ascii="Times New Roman" w:hAnsi="Times New Roman"/>
          <w:sz w:val="24"/>
          <w:szCs w:val="24"/>
        </w:rPr>
        <w:t xml:space="preserve">Подадени </w:t>
      </w:r>
      <w:r>
        <w:rPr>
          <w:rFonts w:ascii="Times New Roman" w:hAnsi="Times New Roman"/>
          <w:sz w:val="24"/>
          <w:szCs w:val="24"/>
        </w:rPr>
        <w:t xml:space="preserve">са </w:t>
      </w:r>
      <w:r w:rsidRPr="00964DA1">
        <w:rPr>
          <w:rFonts w:ascii="Times New Roman" w:hAnsi="Times New Roman"/>
          <w:sz w:val="24"/>
          <w:szCs w:val="24"/>
        </w:rPr>
        <w:t>общо 473 проектни предложения, включително 39 инвестиционни програми;</w:t>
      </w:r>
    </w:p>
    <w:p w:rsidR="00787F38" w:rsidRPr="00964DA1" w:rsidRDefault="00787F38" w:rsidP="00023914">
      <w:pPr>
        <w:pStyle w:val="ListParagraph"/>
        <w:numPr>
          <w:ilvl w:val="0"/>
          <w:numId w:val="26"/>
        </w:numPr>
        <w:spacing w:after="0" w:line="360" w:lineRule="auto"/>
        <w:jc w:val="both"/>
        <w:rPr>
          <w:rFonts w:ascii="Times New Roman" w:hAnsi="Times New Roman"/>
          <w:sz w:val="24"/>
          <w:szCs w:val="24"/>
        </w:rPr>
      </w:pPr>
      <w:r w:rsidRPr="00964DA1">
        <w:rPr>
          <w:rFonts w:ascii="Times New Roman" w:hAnsi="Times New Roman"/>
          <w:b/>
          <w:sz w:val="24"/>
          <w:szCs w:val="24"/>
        </w:rPr>
        <w:t xml:space="preserve">Сключени са </w:t>
      </w:r>
      <w:r>
        <w:rPr>
          <w:rFonts w:ascii="Times New Roman" w:hAnsi="Times New Roman"/>
          <w:b/>
          <w:sz w:val="24"/>
          <w:szCs w:val="24"/>
        </w:rPr>
        <w:t>371</w:t>
      </w:r>
      <w:r w:rsidRPr="00964DA1">
        <w:rPr>
          <w:rFonts w:ascii="Times New Roman" w:hAnsi="Times New Roman"/>
          <w:b/>
          <w:sz w:val="24"/>
          <w:szCs w:val="24"/>
        </w:rPr>
        <w:t xml:space="preserve"> договора</w:t>
      </w:r>
      <w:r w:rsidRPr="00964DA1">
        <w:rPr>
          <w:rFonts w:ascii="Times New Roman" w:hAnsi="Times New Roman"/>
          <w:sz w:val="24"/>
          <w:szCs w:val="24"/>
        </w:rPr>
        <w:t xml:space="preserve"> за предоставяне на </w:t>
      </w:r>
      <w:r w:rsidRPr="00964DA1">
        <w:rPr>
          <w:rFonts w:ascii="Times New Roman" w:hAnsi="Times New Roman"/>
          <w:b/>
          <w:sz w:val="24"/>
          <w:szCs w:val="24"/>
        </w:rPr>
        <w:t>безвъзмездна финансова помощ</w:t>
      </w:r>
      <w:r w:rsidRPr="00964DA1">
        <w:rPr>
          <w:rFonts w:ascii="Times New Roman" w:hAnsi="Times New Roman"/>
          <w:sz w:val="24"/>
          <w:szCs w:val="24"/>
        </w:rPr>
        <w:t xml:space="preserve"> в размер на </w:t>
      </w:r>
      <w:r>
        <w:rPr>
          <w:rFonts w:ascii="Times New Roman" w:hAnsi="Times New Roman"/>
          <w:b/>
          <w:sz w:val="24"/>
          <w:szCs w:val="24"/>
        </w:rPr>
        <w:t>1 517</w:t>
      </w:r>
      <w:r w:rsidRPr="00964DA1">
        <w:rPr>
          <w:rFonts w:ascii="Times New Roman" w:hAnsi="Times New Roman"/>
          <w:b/>
          <w:sz w:val="24"/>
          <w:szCs w:val="24"/>
        </w:rPr>
        <w:t xml:space="preserve"> мл</w:t>
      </w:r>
      <w:r>
        <w:rPr>
          <w:rFonts w:ascii="Times New Roman" w:hAnsi="Times New Roman"/>
          <w:b/>
          <w:sz w:val="24"/>
          <w:szCs w:val="24"/>
        </w:rPr>
        <w:t>рд</w:t>
      </w:r>
      <w:r w:rsidRPr="00964DA1">
        <w:rPr>
          <w:rFonts w:ascii="Times New Roman" w:hAnsi="Times New Roman"/>
          <w:b/>
          <w:sz w:val="24"/>
          <w:szCs w:val="24"/>
        </w:rPr>
        <w:t>. лв</w:t>
      </w:r>
      <w:r w:rsidRPr="00964DA1">
        <w:rPr>
          <w:rFonts w:ascii="Times New Roman" w:hAnsi="Times New Roman"/>
          <w:sz w:val="24"/>
          <w:szCs w:val="24"/>
        </w:rPr>
        <w:t xml:space="preserve">. или </w:t>
      </w:r>
      <w:r>
        <w:rPr>
          <w:rFonts w:ascii="Times New Roman" w:hAnsi="Times New Roman"/>
          <w:b/>
          <w:sz w:val="24"/>
          <w:szCs w:val="24"/>
        </w:rPr>
        <w:t>50</w:t>
      </w:r>
      <w:r w:rsidRPr="00964DA1">
        <w:rPr>
          <w:rFonts w:ascii="Times New Roman" w:hAnsi="Times New Roman"/>
          <w:b/>
          <w:sz w:val="24"/>
          <w:szCs w:val="24"/>
        </w:rPr>
        <w:t xml:space="preserve"> %</w:t>
      </w:r>
      <w:r w:rsidRPr="00964DA1">
        <w:rPr>
          <w:rFonts w:ascii="Times New Roman" w:hAnsi="Times New Roman"/>
          <w:sz w:val="24"/>
          <w:szCs w:val="24"/>
        </w:rPr>
        <w:t xml:space="preserve"> от бюджета на програмата</w:t>
      </w:r>
      <w:r>
        <w:rPr>
          <w:rFonts w:ascii="Times New Roman" w:hAnsi="Times New Roman"/>
          <w:sz w:val="24"/>
          <w:szCs w:val="24"/>
        </w:rPr>
        <w:t xml:space="preserve">; </w:t>
      </w:r>
    </w:p>
    <w:p w:rsidR="00787F38" w:rsidRPr="00964DA1" w:rsidRDefault="00787F38" w:rsidP="00023914">
      <w:pPr>
        <w:pStyle w:val="ListParagraph"/>
        <w:numPr>
          <w:ilvl w:val="0"/>
          <w:numId w:val="26"/>
        </w:numPr>
        <w:spacing w:after="0" w:line="360" w:lineRule="auto"/>
        <w:jc w:val="both"/>
        <w:rPr>
          <w:rFonts w:ascii="Times New Roman" w:hAnsi="Times New Roman"/>
          <w:sz w:val="24"/>
          <w:szCs w:val="24"/>
        </w:rPr>
      </w:pPr>
      <w:r w:rsidRPr="00964DA1">
        <w:rPr>
          <w:rFonts w:ascii="Times New Roman" w:hAnsi="Times New Roman"/>
          <w:sz w:val="24"/>
          <w:szCs w:val="24"/>
        </w:rPr>
        <w:t xml:space="preserve">Одобрените за плащане към бенефициенти средства са в размер на  </w:t>
      </w:r>
      <w:r w:rsidRPr="00A6471C">
        <w:rPr>
          <w:rFonts w:ascii="Times New Roman" w:hAnsi="Times New Roman"/>
          <w:sz w:val="24"/>
          <w:szCs w:val="24"/>
          <w:lang w:val="ru-RU"/>
        </w:rPr>
        <w:t>145</w:t>
      </w:r>
      <w:r w:rsidRPr="00964DA1">
        <w:rPr>
          <w:rFonts w:ascii="Times New Roman" w:hAnsi="Times New Roman"/>
          <w:sz w:val="24"/>
          <w:szCs w:val="24"/>
        </w:rPr>
        <w:t xml:space="preserve"> млн. лв., или </w:t>
      </w:r>
      <w:r w:rsidRPr="00A6471C">
        <w:rPr>
          <w:rFonts w:ascii="Times New Roman" w:hAnsi="Times New Roman"/>
          <w:sz w:val="24"/>
          <w:szCs w:val="24"/>
          <w:lang w:val="ru-RU"/>
        </w:rPr>
        <w:t xml:space="preserve">10 </w:t>
      </w:r>
      <w:r w:rsidRPr="00964DA1">
        <w:rPr>
          <w:rFonts w:ascii="Times New Roman" w:hAnsi="Times New Roman"/>
          <w:sz w:val="24"/>
          <w:szCs w:val="24"/>
        </w:rPr>
        <w:t>% от договорените средства;</w:t>
      </w:r>
    </w:p>
    <w:p w:rsidR="00787F38" w:rsidRPr="00A6471C" w:rsidRDefault="00787F38" w:rsidP="00023914">
      <w:pPr>
        <w:pStyle w:val="ListParagraph"/>
        <w:numPr>
          <w:ilvl w:val="0"/>
          <w:numId w:val="26"/>
        </w:numPr>
        <w:spacing w:after="0" w:line="360" w:lineRule="auto"/>
        <w:jc w:val="both"/>
        <w:rPr>
          <w:rFonts w:ascii="Times New Roman" w:hAnsi="Times New Roman"/>
          <w:sz w:val="24"/>
          <w:szCs w:val="24"/>
        </w:rPr>
      </w:pPr>
      <w:r w:rsidRPr="00964DA1">
        <w:rPr>
          <w:rFonts w:ascii="Times New Roman" w:hAnsi="Times New Roman"/>
          <w:sz w:val="24"/>
          <w:szCs w:val="24"/>
        </w:rPr>
        <w:t>Сключено е финансово споразумение между МРРБ и „Фонд мениджър на финансови инструменти в България“</w:t>
      </w:r>
      <w:r>
        <w:rPr>
          <w:rFonts w:ascii="Times New Roman" w:hAnsi="Times New Roman"/>
          <w:sz w:val="24"/>
          <w:szCs w:val="24"/>
        </w:rPr>
        <w:t xml:space="preserve"> </w:t>
      </w:r>
      <w:r w:rsidRPr="00964DA1">
        <w:rPr>
          <w:rFonts w:ascii="Times New Roman" w:hAnsi="Times New Roman"/>
          <w:sz w:val="24"/>
          <w:szCs w:val="24"/>
        </w:rPr>
        <w:t>ЕАД за управление на средствата за финансови инструменти по Оперативна програма „Региони в растеж“2014-2020</w:t>
      </w:r>
      <w:r>
        <w:rPr>
          <w:rFonts w:ascii="Times New Roman" w:hAnsi="Times New Roman"/>
          <w:sz w:val="24"/>
          <w:szCs w:val="24"/>
        </w:rPr>
        <w:t xml:space="preserve"> г.</w:t>
      </w:r>
      <w:r w:rsidRPr="00964DA1">
        <w:rPr>
          <w:rFonts w:ascii="Times New Roman" w:hAnsi="Times New Roman"/>
          <w:sz w:val="24"/>
          <w:szCs w:val="24"/>
        </w:rPr>
        <w:t>, възлизащи на 370 млн.лв.</w:t>
      </w:r>
    </w:p>
    <w:p w:rsidR="00787F38" w:rsidRPr="00964DA1" w:rsidRDefault="00787F38" w:rsidP="00023914">
      <w:pPr>
        <w:pStyle w:val="ListParagraph"/>
        <w:numPr>
          <w:ilvl w:val="0"/>
          <w:numId w:val="26"/>
        </w:numPr>
        <w:spacing w:after="0" w:line="360" w:lineRule="auto"/>
        <w:jc w:val="both"/>
        <w:rPr>
          <w:rFonts w:ascii="Times New Roman" w:hAnsi="Times New Roman"/>
          <w:sz w:val="24"/>
          <w:szCs w:val="24"/>
        </w:rPr>
      </w:pPr>
      <w:r>
        <w:rPr>
          <w:rFonts w:ascii="Times New Roman" w:hAnsi="Times New Roman"/>
          <w:sz w:val="24"/>
          <w:szCs w:val="24"/>
        </w:rPr>
        <w:t>Сертифицирани са разходи в размер на 104 млн. лв. или 3,5 % от бюджета на програмата.</w:t>
      </w:r>
    </w:p>
    <w:p w:rsidR="00787F38" w:rsidRPr="00964DA1" w:rsidRDefault="00787F38" w:rsidP="00023914">
      <w:pPr>
        <w:spacing w:after="0" w:line="360" w:lineRule="auto"/>
        <w:ind w:left="360"/>
        <w:jc w:val="both"/>
        <w:rPr>
          <w:rFonts w:ascii="Times New Roman" w:hAnsi="Times New Roman"/>
          <w:sz w:val="24"/>
          <w:szCs w:val="24"/>
        </w:rPr>
      </w:pPr>
    </w:p>
    <w:p w:rsidR="00787F38" w:rsidRPr="00964DA1" w:rsidRDefault="00787F38" w:rsidP="00023914">
      <w:pPr>
        <w:spacing w:after="0" w:line="360" w:lineRule="auto"/>
        <w:ind w:firstLine="708"/>
        <w:jc w:val="both"/>
        <w:rPr>
          <w:rFonts w:ascii="Times New Roman" w:hAnsi="Times New Roman"/>
          <w:sz w:val="24"/>
          <w:szCs w:val="24"/>
        </w:rPr>
      </w:pPr>
      <w:r w:rsidRPr="00964DA1">
        <w:rPr>
          <w:rFonts w:ascii="Times New Roman" w:hAnsi="Times New Roman"/>
          <w:b/>
          <w:sz w:val="24"/>
          <w:szCs w:val="24"/>
        </w:rPr>
        <w:t>Фонд „Солидарност“</w:t>
      </w:r>
    </w:p>
    <w:p w:rsidR="00787F38" w:rsidRPr="00964DA1" w:rsidRDefault="00787F38" w:rsidP="00023914">
      <w:pPr>
        <w:spacing w:after="0" w:line="360" w:lineRule="auto"/>
        <w:ind w:firstLine="708"/>
        <w:jc w:val="both"/>
        <w:rPr>
          <w:rFonts w:ascii="Times New Roman" w:hAnsi="Times New Roman"/>
          <w:b/>
          <w:sz w:val="24"/>
          <w:szCs w:val="24"/>
          <w:u w:val="single"/>
        </w:rPr>
      </w:pPr>
      <w:r w:rsidRPr="00964DA1">
        <w:rPr>
          <w:rFonts w:ascii="Times New Roman" w:hAnsi="Times New Roman"/>
          <w:sz w:val="24"/>
          <w:szCs w:val="24"/>
        </w:rPr>
        <w:t>В следствие на наводненията през лятото на 2014 г. в гр.</w:t>
      </w:r>
      <w:r>
        <w:rPr>
          <w:rFonts w:ascii="Times New Roman" w:hAnsi="Times New Roman"/>
          <w:sz w:val="24"/>
          <w:szCs w:val="24"/>
        </w:rPr>
        <w:t xml:space="preserve"> </w:t>
      </w:r>
      <w:r w:rsidRPr="00964DA1">
        <w:rPr>
          <w:rFonts w:ascii="Times New Roman" w:hAnsi="Times New Roman"/>
          <w:sz w:val="24"/>
          <w:szCs w:val="24"/>
        </w:rPr>
        <w:t xml:space="preserve">Варна и в гр.Мизия и бедствията от м. януари – началото на м. февруари 2015 г. бяха загубени човешки животи и настъпиха сериозни имуществени щети. За да подпомогне населението в този труден момент, Република България кандидатства пред ЕК за безвъзмездна финансова помощ по Фонд „Солидарност“. Предоставена е помощ в размер на 24 млн. лв. за </w:t>
      </w:r>
      <w:r w:rsidRPr="00964DA1">
        <w:rPr>
          <w:rFonts w:ascii="Times New Roman" w:hAnsi="Times New Roman"/>
          <w:sz w:val="24"/>
          <w:szCs w:val="24"/>
        </w:rPr>
        <w:lastRenderedPageBreak/>
        <w:t>подпомагане на жертвите от бедствията през 2014 г., а за тези от 2015 г. – над 12 млн. лв. Средствата успешно се усвояват от бенефициентите,</w:t>
      </w:r>
      <w:r>
        <w:rPr>
          <w:rFonts w:ascii="Times New Roman" w:hAnsi="Times New Roman"/>
          <w:sz w:val="24"/>
          <w:szCs w:val="24"/>
        </w:rPr>
        <w:t xml:space="preserve"> като от</w:t>
      </w:r>
      <w:r w:rsidRPr="00964DA1">
        <w:rPr>
          <w:rFonts w:ascii="Times New Roman" w:hAnsi="Times New Roman"/>
          <w:sz w:val="24"/>
          <w:szCs w:val="24"/>
        </w:rPr>
        <w:t xml:space="preserve"> одобрени</w:t>
      </w:r>
      <w:r>
        <w:rPr>
          <w:rFonts w:ascii="Times New Roman" w:hAnsi="Times New Roman"/>
          <w:sz w:val="24"/>
          <w:szCs w:val="24"/>
        </w:rPr>
        <w:t>те</w:t>
      </w:r>
      <w:r w:rsidRPr="00964DA1">
        <w:rPr>
          <w:rFonts w:ascii="Times New Roman" w:hAnsi="Times New Roman"/>
          <w:sz w:val="24"/>
          <w:szCs w:val="24"/>
        </w:rPr>
        <w:t xml:space="preserve"> за финансиране</w:t>
      </w:r>
      <w:r>
        <w:rPr>
          <w:rFonts w:ascii="Times New Roman" w:hAnsi="Times New Roman"/>
          <w:sz w:val="24"/>
          <w:szCs w:val="24"/>
        </w:rPr>
        <w:t xml:space="preserve"> общо </w:t>
      </w:r>
      <w:r w:rsidRPr="00F96C4D">
        <w:rPr>
          <w:rFonts w:ascii="Times New Roman" w:hAnsi="Times New Roman"/>
          <w:sz w:val="24"/>
          <w:szCs w:val="24"/>
        </w:rPr>
        <w:t>44 проекта, към настоящия момент 39 са приключили</w:t>
      </w:r>
      <w:r w:rsidRPr="00964DA1">
        <w:rPr>
          <w:rFonts w:ascii="Times New Roman" w:hAnsi="Times New Roman"/>
          <w:sz w:val="24"/>
          <w:szCs w:val="24"/>
        </w:rPr>
        <w:t>.</w:t>
      </w:r>
    </w:p>
    <w:p w:rsidR="00787F38" w:rsidRPr="00964DA1" w:rsidRDefault="00787F38" w:rsidP="00657276">
      <w:pPr>
        <w:spacing w:after="0" w:line="360" w:lineRule="auto"/>
        <w:ind w:firstLine="708"/>
        <w:jc w:val="both"/>
        <w:rPr>
          <w:rFonts w:ascii="Times New Roman" w:hAnsi="Times New Roman"/>
          <w:b/>
          <w:sz w:val="24"/>
          <w:szCs w:val="24"/>
          <w:u w:val="single"/>
        </w:rPr>
      </w:pPr>
    </w:p>
    <w:p w:rsidR="00787F38" w:rsidRPr="00964DA1" w:rsidRDefault="00787F38" w:rsidP="00AE3413">
      <w:pPr>
        <w:spacing w:after="0" w:line="360" w:lineRule="auto"/>
        <w:jc w:val="both"/>
        <w:rPr>
          <w:rFonts w:ascii="Times New Roman" w:hAnsi="Times New Roman"/>
          <w:b/>
          <w:sz w:val="24"/>
          <w:szCs w:val="24"/>
        </w:rPr>
      </w:pPr>
    </w:p>
    <w:p w:rsidR="00787F38" w:rsidRPr="00964DA1" w:rsidRDefault="00787F38" w:rsidP="00BE092D">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sz w:val="24"/>
          <w:szCs w:val="24"/>
        </w:rPr>
      </w:pPr>
      <w:r w:rsidRPr="00964DA1">
        <w:rPr>
          <w:rFonts w:ascii="Times New Roman" w:hAnsi="Times New Roman"/>
          <w:b/>
          <w:sz w:val="24"/>
          <w:szCs w:val="24"/>
        </w:rPr>
        <w:t>Трансгранично сътрудничество</w:t>
      </w:r>
    </w:p>
    <w:p w:rsidR="00787F38" w:rsidRPr="00964DA1" w:rsidRDefault="00787F38" w:rsidP="00BE092D">
      <w:pPr>
        <w:pStyle w:val="ListParagraph"/>
        <w:spacing w:after="0" w:line="360" w:lineRule="auto"/>
        <w:jc w:val="both"/>
        <w:rPr>
          <w:rFonts w:ascii="Times New Roman" w:hAnsi="Times New Roman"/>
          <w:sz w:val="24"/>
          <w:szCs w:val="24"/>
        </w:rPr>
      </w:pPr>
    </w:p>
    <w:p w:rsidR="00787F38" w:rsidRDefault="00787F38" w:rsidP="008955AD">
      <w:pPr>
        <w:spacing w:after="0" w:line="360" w:lineRule="auto"/>
        <w:ind w:firstLine="708"/>
        <w:jc w:val="both"/>
        <w:rPr>
          <w:rFonts w:ascii="Times New Roman" w:hAnsi="Times New Roman"/>
          <w:sz w:val="24"/>
          <w:szCs w:val="24"/>
        </w:rPr>
      </w:pPr>
      <w:r w:rsidRPr="00964DA1">
        <w:rPr>
          <w:rFonts w:ascii="Times New Roman" w:hAnsi="Times New Roman"/>
          <w:sz w:val="24"/>
          <w:szCs w:val="24"/>
        </w:rPr>
        <w:t>Успешно приключи изпълнението на проектите по трите управлявани от МРРБ програми за трансгранично сътрудничество по Инструмента за предприсъединителна помощ за програмен период 2007 – 2013, като към момента няма проекти в риск и няма опасност от загуба на програмни средства:</w:t>
      </w:r>
    </w:p>
    <w:p w:rsidR="00787F38" w:rsidRPr="00964DA1" w:rsidRDefault="00787F38" w:rsidP="008955AD">
      <w:pPr>
        <w:spacing w:after="0" w:line="360" w:lineRule="auto"/>
        <w:ind w:firstLine="708"/>
        <w:jc w:val="both"/>
        <w:rPr>
          <w:rFonts w:ascii="Times New Roman" w:hAnsi="Times New Roman"/>
          <w:sz w:val="24"/>
          <w:szCs w:val="24"/>
        </w:rPr>
      </w:pPr>
    </w:p>
    <w:p w:rsidR="00787F38" w:rsidRPr="00CE6411" w:rsidRDefault="00787F38" w:rsidP="008955AD">
      <w:pPr>
        <w:pStyle w:val="ListParagraph"/>
        <w:numPr>
          <w:ilvl w:val="0"/>
          <w:numId w:val="28"/>
        </w:numPr>
        <w:spacing w:after="0" w:line="360" w:lineRule="auto"/>
        <w:jc w:val="both"/>
        <w:rPr>
          <w:rFonts w:ascii="Times New Roman" w:hAnsi="Times New Roman"/>
          <w:sz w:val="24"/>
          <w:szCs w:val="24"/>
        </w:rPr>
      </w:pPr>
      <w:r w:rsidRPr="00964DA1">
        <w:rPr>
          <w:rFonts w:ascii="Times New Roman" w:hAnsi="Times New Roman"/>
          <w:sz w:val="24"/>
          <w:szCs w:val="24"/>
        </w:rPr>
        <w:t>По Програма за ТГС по ИПП БЪЛГАРИЯ-СЪРБИЯ с бюджет над 66  млн. лв. бяха сключени общо 155 договора за субсидия с бенефициенти и до момента са разплатени 9</w:t>
      </w:r>
      <w:r w:rsidRPr="0052521F">
        <w:rPr>
          <w:rFonts w:ascii="Times New Roman" w:hAnsi="Times New Roman"/>
          <w:sz w:val="24"/>
          <w:szCs w:val="24"/>
          <w:lang w:val="ru-RU"/>
        </w:rPr>
        <w:t>5</w:t>
      </w:r>
      <w:r w:rsidRPr="00964DA1">
        <w:rPr>
          <w:rFonts w:ascii="Times New Roman" w:hAnsi="Times New Roman"/>
          <w:sz w:val="24"/>
          <w:szCs w:val="24"/>
        </w:rPr>
        <w:t>% от средствата по нея</w:t>
      </w:r>
      <w:r w:rsidRPr="0052521F">
        <w:rPr>
          <w:rFonts w:ascii="Times New Roman" w:hAnsi="Times New Roman"/>
          <w:sz w:val="24"/>
          <w:szCs w:val="24"/>
          <w:lang w:val="ru-RU"/>
        </w:rPr>
        <w:t xml:space="preserve"> </w:t>
      </w:r>
      <w:r w:rsidRPr="007B5D9C">
        <w:t>(</w:t>
      </w:r>
      <w:r w:rsidRPr="008955AD">
        <w:rPr>
          <w:rFonts w:ascii="Times New Roman" w:hAnsi="Times New Roman"/>
          <w:sz w:val="24"/>
          <w:szCs w:val="24"/>
        </w:rPr>
        <w:t>близо</w:t>
      </w:r>
      <w:r>
        <w:t xml:space="preserve"> </w:t>
      </w:r>
      <w:r w:rsidRPr="00CE6411">
        <w:rPr>
          <w:rFonts w:ascii="Times New Roman" w:hAnsi="Times New Roman"/>
          <w:sz w:val="24"/>
          <w:szCs w:val="24"/>
        </w:rPr>
        <w:t>6</w:t>
      </w:r>
      <w:r>
        <w:rPr>
          <w:rFonts w:ascii="Times New Roman" w:hAnsi="Times New Roman"/>
          <w:sz w:val="24"/>
          <w:szCs w:val="24"/>
        </w:rPr>
        <w:t>3 млн.</w:t>
      </w:r>
      <w:r w:rsidRPr="00CE6411">
        <w:rPr>
          <w:rFonts w:ascii="Times New Roman" w:hAnsi="Times New Roman"/>
          <w:sz w:val="24"/>
          <w:szCs w:val="24"/>
        </w:rPr>
        <w:t xml:space="preserve"> лв.)</w:t>
      </w:r>
      <w:r w:rsidRPr="00964DA1">
        <w:rPr>
          <w:rFonts w:ascii="Times New Roman" w:hAnsi="Times New Roman"/>
          <w:sz w:val="24"/>
          <w:szCs w:val="24"/>
        </w:rPr>
        <w:t>;</w:t>
      </w:r>
    </w:p>
    <w:p w:rsidR="00787F38" w:rsidRPr="00CE6411" w:rsidRDefault="00787F38" w:rsidP="008955AD">
      <w:pPr>
        <w:pStyle w:val="ListParagraph"/>
        <w:numPr>
          <w:ilvl w:val="0"/>
          <w:numId w:val="28"/>
        </w:numPr>
        <w:spacing w:after="0" w:line="360" w:lineRule="auto"/>
        <w:jc w:val="both"/>
        <w:rPr>
          <w:rFonts w:ascii="Times New Roman" w:hAnsi="Times New Roman"/>
          <w:sz w:val="24"/>
          <w:szCs w:val="24"/>
        </w:rPr>
      </w:pPr>
      <w:r w:rsidRPr="00964DA1">
        <w:rPr>
          <w:rFonts w:ascii="Times New Roman" w:hAnsi="Times New Roman"/>
          <w:sz w:val="24"/>
          <w:szCs w:val="24"/>
        </w:rPr>
        <w:t>Общо 138 договора бяха сключени по Програмата за ТГС по ИПП БЪЛГАРИЯ-ТУРЦИЯ</w:t>
      </w:r>
      <w:r w:rsidRPr="0052521F">
        <w:rPr>
          <w:rFonts w:ascii="Times New Roman" w:hAnsi="Times New Roman"/>
          <w:sz w:val="24"/>
          <w:szCs w:val="24"/>
          <w:lang w:val="ru-RU"/>
        </w:rPr>
        <w:t xml:space="preserve"> </w:t>
      </w:r>
      <w:r>
        <w:rPr>
          <w:rFonts w:ascii="Times New Roman" w:hAnsi="Times New Roman"/>
          <w:sz w:val="24"/>
          <w:szCs w:val="24"/>
        </w:rPr>
        <w:t>с бюджет 57,7 млн. лв</w:t>
      </w:r>
      <w:r w:rsidRPr="00964DA1">
        <w:rPr>
          <w:rFonts w:ascii="Times New Roman" w:hAnsi="Times New Roman"/>
          <w:sz w:val="24"/>
          <w:szCs w:val="24"/>
        </w:rPr>
        <w:t>. До момента са разплатени близо 90% от средствата по нея, които са в общ размер от над 57  млн. лв.;</w:t>
      </w:r>
    </w:p>
    <w:p w:rsidR="00787F38" w:rsidRPr="00964DA1" w:rsidRDefault="00787F38" w:rsidP="008955AD">
      <w:pPr>
        <w:pStyle w:val="ListParagraph"/>
        <w:numPr>
          <w:ilvl w:val="0"/>
          <w:numId w:val="28"/>
        </w:numPr>
        <w:spacing w:after="0" w:line="360" w:lineRule="auto"/>
        <w:jc w:val="both"/>
        <w:rPr>
          <w:rFonts w:ascii="Times New Roman" w:hAnsi="Times New Roman"/>
          <w:sz w:val="24"/>
          <w:szCs w:val="24"/>
        </w:rPr>
      </w:pPr>
      <w:r w:rsidRPr="00964DA1">
        <w:rPr>
          <w:rFonts w:ascii="Times New Roman" w:hAnsi="Times New Roman"/>
          <w:sz w:val="24"/>
          <w:szCs w:val="24"/>
        </w:rPr>
        <w:t xml:space="preserve">Общият бюджет на Програмата за ТГС по ИПП БЪЛГАРИЯ-МАКЕДОНИЯ е </w:t>
      </w:r>
      <w:r>
        <w:rPr>
          <w:rFonts w:ascii="Times New Roman" w:hAnsi="Times New Roman"/>
          <w:sz w:val="24"/>
          <w:szCs w:val="24"/>
        </w:rPr>
        <w:t>39</w:t>
      </w:r>
      <w:r w:rsidRPr="00964DA1">
        <w:rPr>
          <w:rFonts w:ascii="Times New Roman" w:hAnsi="Times New Roman"/>
          <w:sz w:val="24"/>
          <w:szCs w:val="24"/>
        </w:rPr>
        <w:t xml:space="preserve"> млн. лв. Общо 100 са сключените договори като разплатените средства към бенефициенти са в размер на около 9</w:t>
      </w:r>
      <w:r>
        <w:rPr>
          <w:rFonts w:ascii="Times New Roman" w:hAnsi="Times New Roman"/>
          <w:sz w:val="24"/>
          <w:szCs w:val="24"/>
        </w:rPr>
        <w:t>5</w:t>
      </w:r>
      <w:r w:rsidRPr="00964DA1">
        <w:rPr>
          <w:rFonts w:ascii="Times New Roman" w:hAnsi="Times New Roman"/>
          <w:sz w:val="24"/>
          <w:szCs w:val="24"/>
        </w:rPr>
        <w:t>% от бюджета на програмата</w:t>
      </w:r>
      <w:r>
        <w:rPr>
          <w:rFonts w:ascii="Times New Roman" w:hAnsi="Times New Roman"/>
          <w:sz w:val="24"/>
          <w:szCs w:val="24"/>
        </w:rPr>
        <w:t xml:space="preserve"> </w:t>
      </w:r>
      <w:r w:rsidRPr="00CE6411">
        <w:rPr>
          <w:rFonts w:ascii="Times New Roman" w:hAnsi="Times New Roman"/>
          <w:sz w:val="24"/>
          <w:szCs w:val="24"/>
        </w:rPr>
        <w:t>(37</w:t>
      </w:r>
      <w:r>
        <w:rPr>
          <w:rFonts w:ascii="Times New Roman" w:hAnsi="Times New Roman"/>
          <w:sz w:val="24"/>
          <w:szCs w:val="24"/>
        </w:rPr>
        <w:t xml:space="preserve">,4 млн. </w:t>
      </w:r>
      <w:r w:rsidRPr="00CE6411">
        <w:rPr>
          <w:rFonts w:ascii="Times New Roman" w:hAnsi="Times New Roman"/>
          <w:sz w:val="24"/>
          <w:szCs w:val="24"/>
        </w:rPr>
        <w:t>лв.)</w:t>
      </w:r>
      <w:r w:rsidRPr="00964DA1">
        <w:rPr>
          <w:rFonts w:ascii="Times New Roman" w:hAnsi="Times New Roman"/>
          <w:sz w:val="24"/>
          <w:szCs w:val="24"/>
        </w:rPr>
        <w:t>.</w:t>
      </w:r>
    </w:p>
    <w:p w:rsidR="00787F38" w:rsidRDefault="00787F38" w:rsidP="004A453D">
      <w:pPr>
        <w:keepNext/>
        <w:keepLines/>
        <w:spacing w:after="0" w:line="240" w:lineRule="auto"/>
        <w:ind w:firstLine="709"/>
        <w:jc w:val="both"/>
        <w:rPr>
          <w:rFonts w:ascii="Times New Roman" w:hAnsi="Times New Roman"/>
          <w:sz w:val="24"/>
          <w:szCs w:val="24"/>
        </w:rPr>
      </w:pPr>
    </w:p>
    <w:p w:rsidR="00787F38" w:rsidRPr="007B5D9C" w:rsidRDefault="00787F38" w:rsidP="008955AD">
      <w:pPr>
        <w:keepNext/>
        <w:keepLines/>
        <w:spacing w:line="336" w:lineRule="auto"/>
        <w:ind w:firstLine="708"/>
        <w:jc w:val="both"/>
      </w:pPr>
      <w:r>
        <w:rPr>
          <w:rFonts w:ascii="Times New Roman" w:hAnsi="Times New Roman"/>
          <w:sz w:val="24"/>
          <w:szCs w:val="24"/>
        </w:rPr>
        <w:t>П</w:t>
      </w:r>
      <w:r w:rsidRPr="00964DA1">
        <w:rPr>
          <w:rFonts w:ascii="Times New Roman" w:hAnsi="Times New Roman"/>
          <w:sz w:val="24"/>
          <w:szCs w:val="24"/>
        </w:rPr>
        <w:t>рограми</w:t>
      </w:r>
      <w:r>
        <w:rPr>
          <w:rFonts w:ascii="Times New Roman" w:hAnsi="Times New Roman"/>
          <w:sz w:val="24"/>
          <w:szCs w:val="24"/>
        </w:rPr>
        <w:t>те</w:t>
      </w:r>
      <w:r w:rsidRPr="00964DA1">
        <w:rPr>
          <w:rFonts w:ascii="Times New Roman" w:hAnsi="Times New Roman"/>
          <w:sz w:val="24"/>
          <w:szCs w:val="24"/>
        </w:rPr>
        <w:t xml:space="preserve"> </w:t>
      </w:r>
      <w:r>
        <w:rPr>
          <w:rFonts w:ascii="Times New Roman" w:hAnsi="Times New Roman"/>
          <w:sz w:val="24"/>
          <w:szCs w:val="24"/>
        </w:rPr>
        <w:t xml:space="preserve">със Сърбия, Турция и Македония </w:t>
      </w:r>
      <w:r w:rsidRPr="00964DA1">
        <w:rPr>
          <w:rFonts w:ascii="Times New Roman" w:hAnsi="Times New Roman"/>
          <w:sz w:val="24"/>
          <w:szCs w:val="24"/>
        </w:rPr>
        <w:t>2014-2020</w:t>
      </w:r>
      <w:r>
        <w:rPr>
          <w:rFonts w:ascii="Times New Roman" w:hAnsi="Times New Roman"/>
          <w:sz w:val="24"/>
          <w:szCs w:val="24"/>
        </w:rPr>
        <w:t xml:space="preserve"> </w:t>
      </w:r>
      <w:r w:rsidRPr="00964DA1">
        <w:rPr>
          <w:rFonts w:ascii="Times New Roman" w:hAnsi="Times New Roman"/>
          <w:sz w:val="24"/>
          <w:szCs w:val="24"/>
        </w:rPr>
        <w:t>стартираха успешно</w:t>
      </w:r>
      <w:r>
        <w:rPr>
          <w:rFonts w:ascii="Times New Roman" w:hAnsi="Times New Roman"/>
          <w:sz w:val="24"/>
          <w:szCs w:val="24"/>
        </w:rPr>
        <w:t>,</w:t>
      </w:r>
      <w:r w:rsidRPr="00964DA1">
        <w:rPr>
          <w:rFonts w:ascii="Times New Roman" w:hAnsi="Times New Roman"/>
          <w:sz w:val="24"/>
          <w:szCs w:val="24"/>
        </w:rPr>
        <w:t xml:space="preserve"> като бяха обявени първи покани за набиране на проектни предложения</w:t>
      </w:r>
      <w:r>
        <w:rPr>
          <w:rFonts w:ascii="Times New Roman" w:hAnsi="Times New Roman"/>
          <w:sz w:val="24"/>
          <w:szCs w:val="24"/>
        </w:rPr>
        <w:t xml:space="preserve"> и сключени първите договори за субсидия  - </w:t>
      </w:r>
      <w:r w:rsidRPr="00964DA1">
        <w:rPr>
          <w:rFonts w:ascii="Times New Roman" w:hAnsi="Times New Roman"/>
          <w:sz w:val="24"/>
          <w:szCs w:val="24"/>
        </w:rPr>
        <w:t>по програмата България-Македония са сключени 45 договора</w:t>
      </w:r>
      <w:r>
        <w:rPr>
          <w:rFonts w:ascii="Times New Roman" w:hAnsi="Times New Roman"/>
          <w:sz w:val="24"/>
          <w:szCs w:val="24"/>
        </w:rPr>
        <w:t xml:space="preserve"> на стойност почти 19 млн.</w:t>
      </w:r>
      <w:r w:rsidRPr="00CE6411">
        <w:rPr>
          <w:rFonts w:ascii="Times New Roman" w:hAnsi="Times New Roman"/>
          <w:sz w:val="24"/>
          <w:szCs w:val="24"/>
        </w:rPr>
        <w:t xml:space="preserve"> лв</w:t>
      </w:r>
      <w:r>
        <w:rPr>
          <w:rFonts w:ascii="Times New Roman" w:hAnsi="Times New Roman"/>
          <w:sz w:val="24"/>
          <w:szCs w:val="24"/>
        </w:rPr>
        <w:t>.</w:t>
      </w:r>
      <w:r w:rsidRPr="00964DA1">
        <w:rPr>
          <w:rFonts w:ascii="Times New Roman" w:hAnsi="Times New Roman"/>
          <w:sz w:val="24"/>
          <w:szCs w:val="24"/>
        </w:rPr>
        <w:t>, по програмата България-Сърбия са подписани 37 договора</w:t>
      </w:r>
      <w:r>
        <w:rPr>
          <w:rFonts w:ascii="Times New Roman" w:hAnsi="Times New Roman"/>
          <w:sz w:val="24"/>
          <w:szCs w:val="24"/>
        </w:rPr>
        <w:t xml:space="preserve"> на стойност </w:t>
      </w:r>
      <w:r w:rsidRPr="00CE6411">
        <w:rPr>
          <w:rFonts w:ascii="Times New Roman" w:hAnsi="Times New Roman"/>
          <w:sz w:val="24"/>
          <w:szCs w:val="24"/>
        </w:rPr>
        <w:t>31 </w:t>
      </w:r>
      <w:r>
        <w:rPr>
          <w:rFonts w:ascii="Times New Roman" w:hAnsi="Times New Roman"/>
          <w:sz w:val="24"/>
          <w:szCs w:val="24"/>
        </w:rPr>
        <w:t>млн.</w:t>
      </w:r>
      <w:r w:rsidRPr="00CE6411">
        <w:rPr>
          <w:rFonts w:ascii="Times New Roman" w:hAnsi="Times New Roman"/>
          <w:sz w:val="24"/>
          <w:szCs w:val="24"/>
        </w:rPr>
        <w:t xml:space="preserve"> лв</w:t>
      </w:r>
      <w:r>
        <w:rPr>
          <w:rFonts w:ascii="Times New Roman" w:hAnsi="Times New Roman"/>
          <w:sz w:val="24"/>
          <w:szCs w:val="24"/>
        </w:rPr>
        <w:t>.</w:t>
      </w:r>
      <w:r w:rsidRPr="00964DA1">
        <w:rPr>
          <w:rFonts w:ascii="Times New Roman" w:hAnsi="Times New Roman"/>
          <w:sz w:val="24"/>
          <w:szCs w:val="24"/>
        </w:rPr>
        <w:t>, а по програмата с Турция договорите се очаква да бъдат сключени</w:t>
      </w:r>
      <w:r>
        <w:rPr>
          <w:rFonts w:ascii="Times New Roman" w:hAnsi="Times New Roman"/>
          <w:sz w:val="24"/>
          <w:szCs w:val="24"/>
        </w:rPr>
        <w:t xml:space="preserve"> през месец февруари (3</w:t>
      </w:r>
      <w:r w:rsidRPr="00CE6411">
        <w:rPr>
          <w:rFonts w:ascii="Times New Roman" w:hAnsi="Times New Roman"/>
          <w:sz w:val="24"/>
          <w:szCs w:val="24"/>
        </w:rPr>
        <w:t>9 договора на обща стойност 21 </w:t>
      </w:r>
      <w:r>
        <w:rPr>
          <w:rFonts w:ascii="Times New Roman" w:hAnsi="Times New Roman"/>
          <w:sz w:val="24"/>
          <w:szCs w:val="24"/>
        </w:rPr>
        <w:t>млн.</w:t>
      </w:r>
      <w:r w:rsidRPr="00CE6411">
        <w:rPr>
          <w:rFonts w:ascii="Times New Roman" w:hAnsi="Times New Roman"/>
          <w:sz w:val="24"/>
          <w:szCs w:val="24"/>
        </w:rPr>
        <w:t xml:space="preserve"> лв.</w:t>
      </w:r>
      <w:r>
        <w:rPr>
          <w:rFonts w:ascii="Times New Roman" w:hAnsi="Times New Roman"/>
          <w:sz w:val="24"/>
          <w:szCs w:val="24"/>
        </w:rPr>
        <w:t>).</w:t>
      </w:r>
    </w:p>
    <w:p w:rsidR="00787F38" w:rsidRPr="00964DA1" w:rsidRDefault="00787F38" w:rsidP="008955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В допълнение, успешно стартираха и се изпълняват договори и по останалите програми за териториално сътрудничество, в които България участва, а именно -  програмите за ТГС Румъния – България и Гърция – България, Програмите за транснационално сътрудничество Дунав и Балкани - Средиземно море, както и </w:t>
      </w:r>
      <w:r>
        <w:rPr>
          <w:rFonts w:ascii="Times New Roman" w:hAnsi="Times New Roman"/>
          <w:sz w:val="24"/>
          <w:szCs w:val="24"/>
        </w:rPr>
        <w:lastRenderedPageBreak/>
        <w:t>програмите за междурегионално сътрудничество - ИНТЕРРЕГ ЕВРОПА, УРБАКТ и ЕСПОН.</w:t>
      </w:r>
    </w:p>
    <w:p w:rsidR="00787F38" w:rsidRPr="00964DA1" w:rsidRDefault="00787F38" w:rsidP="00A94B3E">
      <w:pPr>
        <w:spacing w:after="0" w:line="360" w:lineRule="auto"/>
        <w:jc w:val="both"/>
        <w:rPr>
          <w:rFonts w:ascii="Times New Roman" w:hAnsi="Times New Roman"/>
          <w:sz w:val="24"/>
          <w:szCs w:val="24"/>
        </w:rPr>
      </w:pPr>
    </w:p>
    <w:p w:rsidR="00787F38" w:rsidRPr="00964DA1" w:rsidRDefault="00787F38" w:rsidP="00C2008D">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sz w:val="24"/>
          <w:szCs w:val="24"/>
        </w:rPr>
      </w:pPr>
      <w:r w:rsidRPr="00964DA1">
        <w:rPr>
          <w:rFonts w:ascii="Times New Roman" w:hAnsi="Times New Roman"/>
          <w:b/>
          <w:sz w:val="24"/>
          <w:szCs w:val="24"/>
        </w:rPr>
        <w:t>Подкрепа на развитието на регионите</w:t>
      </w:r>
    </w:p>
    <w:p w:rsidR="00787F38" w:rsidRPr="00964DA1" w:rsidRDefault="00787F38" w:rsidP="00C2008D">
      <w:pPr>
        <w:spacing w:after="0" w:line="360" w:lineRule="auto"/>
        <w:jc w:val="both"/>
        <w:rPr>
          <w:rFonts w:ascii="Times New Roman" w:hAnsi="Times New Roman"/>
          <w:sz w:val="24"/>
          <w:szCs w:val="24"/>
        </w:rPr>
      </w:pPr>
    </w:p>
    <w:p w:rsidR="00787F38" w:rsidRPr="00964DA1" w:rsidRDefault="00787F38" w:rsidP="0054656A">
      <w:pPr>
        <w:spacing w:after="0" w:line="360" w:lineRule="auto"/>
        <w:ind w:firstLine="708"/>
        <w:jc w:val="both"/>
        <w:rPr>
          <w:rFonts w:ascii="Times New Roman" w:hAnsi="Times New Roman"/>
          <w:b/>
          <w:sz w:val="24"/>
          <w:szCs w:val="24"/>
        </w:rPr>
      </w:pPr>
      <w:r w:rsidRPr="00964DA1">
        <w:rPr>
          <w:rFonts w:ascii="Times New Roman" w:hAnsi="Times New Roman"/>
          <w:b/>
          <w:sz w:val="24"/>
          <w:szCs w:val="24"/>
        </w:rPr>
        <w:t>Целенасочена инвестиционна програма в подкрепа на развитието на регионите</w:t>
      </w:r>
    </w:p>
    <w:p w:rsidR="00787F38" w:rsidRPr="00964DA1" w:rsidRDefault="00787F38" w:rsidP="0054656A">
      <w:pPr>
        <w:spacing w:after="0" w:line="360" w:lineRule="auto"/>
        <w:ind w:firstLine="708"/>
        <w:jc w:val="both"/>
        <w:rPr>
          <w:rFonts w:ascii="Times New Roman" w:hAnsi="Times New Roman"/>
          <w:b/>
          <w:sz w:val="24"/>
          <w:szCs w:val="24"/>
        </w:rPr>
      </w:pPr>
      <w:r w:rsidRPr="00964DA1">
        <w:rPr>
          <w:rFonts w:ascii="Times New Roman" w:hAnsi="Times New Roman"/>
          <w:sz w:val="24"/>
          <w:szCs w:val="24"/>
        </w:rPr>
        <w:t>Разработен е проект на „Целенасочена инвестиционна програма в подкрепа развитието на Северозападна България, Родопите, Странджа, планинските, полупланинските и граничните слабо развити райони“ като предстои одобряването му от Министерския съвет.</w:t>
      </w:r>
    </w:p>
    <w:p w:rsidR="00787F38" w:rsidRPr="00964DA1" w:rsidRDefault="00787F38" w:rsidP="00A94B3E">
      <w:pPr>
        <w:spacing w:after="0" w:line="360" w:lineRule="auto"/>
        <w:jc w:val="both"/>
        <w:rPr>
          <w:rFonts w:ascii="Times New Roman" w:hAnsi="Times New Roman"/>
          <w:b/>
          <w:sz w:val="24"/>
          <w:szCs w:val="24"/>
        </w:rPr>
      </w:pPr>
    </w:p>
    <w:p w:rsidR="00787F38" w:rsidRPr="00964DA1" w:rsidRDefault="00787F38" w:rsidP="0054656A">
      <w:pPr>
        <w:spacing w:after="0" w:line="360" w:lineRule="auto"/>
        <w:ind w:firstLine="708"/>
        <w:jc w:val="both"/>
        <w:rPr>
          <w:rFonts w:ascii="Times New Roman" w:hAnsi="Times New Roman"/>
          <w:b/>
          <w:sz w:val="24"/>
          <w:szCs w:val="24"/>
        </w:rPr>
      </w:pPr>
      <w:r w:rsidRPr="00964DA1">
        <w:rPr>
          <w:rFonts w:ascii="Times New Roman" w:hAnsi="Times New Roman"/>
          <w:b/>
          <w:sz w:val="24"/>
          <w:szCs w:val="24"/>
        </w:rPr>
        <w:t>Финансова децентрализация на местните власти</w:t>
      </w:r>
    </w:p>
    <w:p w:rsidR="00787F38" w:rsidRDefault="00787F38" w:rsidP="00002BD6">
      <w:pPr>
        <w:spacing w:after="0" w:line="360" w:lineRule="auto"/>
        <w:ind w:firstLine="708"/>
        <w:jc w:val="both"/>
        <w:rPr>
          <w:rFonts w:ascii="Times New Roman" w:hAnsi="Times New Roman"/>
          <w:sz w:val="24"/>
          <w:szCs w:val="24"/>
        </w:rPr>
      </w:pPr>
      <w:r w:rsidRPr="00964DA1">
        <w:rPr>
          <w:rFonts w:ascii="Times New Roman" w:hAnsi="Times New Roman"/>
          <w:sz w:val="24"/>
          <w:szCs w:val="24"/>
        </w:rPr>
        <w:t>Министерският съвет със свое Решение № 735 от 08.09.2016 г. одобри Стратегията за децентрализация за периода 2016-2025 г. и Програмата за нейното изпълнение за периода 2016-2019 г. Стратегията за децентрализация е насочена към прехвърляне на правомощия и функции от централната към местната власт в основни сектори, установяване на оптимално разпределение на ресурси между централното и местното ниво, граждански контрол върху действията на публичните институции, повишаване влиянието на регионалните институции за провеждане на координирана политика за регионално развитие.</w:t>
      </w:r>
    </w:p>
    <w:p w:rsidR="00BC1CA0" w:rsidRPr="00964DA1" w:rsidRDefault="00BC1CA0" w:rsidP="00002BD6">
      <w:pPr>
        <w:spacing w:after="0" w:line="360" w:lineRule="auto"/>
        <w:ind w:firstLine="708"/>
        <w:jc w:val="both"/>
        <w:rPr>
          <w:rFonts w:ascii="Times New Roman" w:hAnsi="Times New Roman"/>
          <w:sz w:val="24"/>
          <w:szCs w:val="24"/>
        </w:rPr>
      </w:pPr>
    </w:p>
    <w:p w:rsidR="00787F38" w:rsidRPr="00964DA1" w:rsidRDefault="00787F38" w:rsidP="00CB7CF4">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sz w:val="24"/>
          <w:szCs w:val="24"/>
        </w:rPr>
      </w:pPr>
      <w:r w:rsidRPr="00964DA1">
        <w:rPr>
          <w:rFonts w:ascii="Times New Roman" w:hAnsi="Times New Roman"/>
          <w:b/>
          <w:sz w:val="24"/>
          <w:szCs w:val="24"/>
        </w:rPr>
        <w:t>Водоснабдяване и канализация</w:t>
      </w:r>
    </w:p>
    <w:p w:rsidR="00787F38" w:rsidRPr="00964DA1" w:rsidRDefault="00787F38" w:rsidP="00CB7CF4">
      <w:pPr>
        <w:pStyle w:val="Standard"/>
        <w:tabs>
          <w:tab w:val="left" w:pos="709"/>
        </w:tabs>
        <w:spacing w:line="360" w:lineRule="auto"/>
        <w:ind w:left="720"/>
        <w:jc w:val="both"/>
        <w:rPr>
          <w:b/>
        </w:rPr>
      </w:pPr>
    </w:p>
    <w:p w:rsidR="00787F38" w:rsidRPr="00964DA1" w:rsidRDefault="00787F38" w:rsidP="006312DC">
      <w:pPr>
        <w:pStyle w:val="Standard"/>
        <w:tabs>
          <w:tab w:val="left" w:pos="709"/>
        </w:tabs>
        <w:spacing w:line="360" w:lineRule="auto"/>
        <w:jc w:val="both"/>
        <w:rPr>
          <w:b/>
        </w:rPr>
      </w:pPr>
      <w:r w:rsidRPr="00964DA1">
        <w:rPr>
          <w:b/>
        </w:rPr>
        <w:tab/>
        <w:t>За първи път от 25 години е възобновено строителството на язовири, предназначени приоритетно за питейно битово водоснабдявате с инвестиция от близо 140 млн. лв.:</w:t>
      </w:r>
    </w:p>
    <w:p w:rsidR="00787F38" w:rsidRPr="00964DA1" w:rsidRDefault="00787F38" w:rsidP="0054656A">
      <w:pPr>
        <w:pStyle w:val="Standard"/>
        <w:numPr>
          <w:ilvl w:val="1"/>
          <w:numId w:val="29"/>
        </w:numPr>
        <w:tabs>
          <w:tab w:val="left" w:pos="709"/>
        </w:tabs>
        <w:spacing w:line="360" w:lineRule="auto"/>
        <w:ind w:left="709"/>
        <w:jc w:val="both"/>
        <w:rPr>
          <w:b/>
        </w:rPr>
      </w:pPr>
      <w:r w:rsidRPr="00964DA1">
        <w:rPr>
          <w:b/>
        </w:rPr>
        <w:t>яз. Луда Яна и Пречиствателна станция за питейни води</w:t>
      </w:r>
      <w:r w:rsidRPr="00964DA1">
        <w:t xml:space="preserve"> (ПСПВ) към него (</w:t>
      </w:r>
      <w:r>
        <w:t>община Панагюрище</w:t>
      </w:r>
      <w:r w:rsidRPr="00964DA1">
        <w:t>) – строителство: 56 млн. лв.;</w:t>
      </w:r>
    </w:p>
    <w:p w:rsidR="00787F38" w:rsidRPr="00964DA1" w:rsidRDefault="00787F38" w:rsidP="0054656A">
      <w:pPr>
        <w:pStyle w:val="Standard"/>
        <w:numPr>
          <w:ilvl w:val="1"/>
          <w:numId w:val="29"/>
        </w:numPr>
        <w:tabs>
          <w:tab w:val="left" w:pos="709"/>
        </w:tabs>
        <w:spacing w:line="360" w:lineRule="auto"/>
        <w:ind w:left="709"/>
        <w:jc w:val="both"/>
        <w:rPr>
          <w:b/>
        </w:rPr>
      </w:pPr>
      <w:r w:rsidRPr="00964DA1">
        <w:rPr>
          <w:b/>
        </w:rPr>
        <w:t>яз. Пловдивци  и ПСПВ</w:t>
      </w:r>
      <w:r w:rsidRPr="00964DA1">
        <w:t xml:space="preserve"> (община Р</w:t>
      </w:r>
      <w:r>
        <w:t>удозем</w:t>
      </w:r>
      <w:r w:rsidRPr="00964DA1">
        <w:t>) – строителство: 47 млн. лв.;</w:t>
      </w:r>
    </w:p>
    <w:p w:rsidR="00787F38" w:rsidRPr="00964DA1" w:rsidRDefault="00787F38" w:rsidP="0054656A">
      <w:pPr>
        <w:pStyle w:val="Standard"/>
        <w:numPr>
          <w:ilvl w:val="1"/>
          <w:numId w:val="29"/>
        </w:numPr>
        <w:tabs>
          <w:tab w:val="left" w:pos="709"/>
        </w:tabs>
        <w:spacing w:line="360" w:lineRule="auto"/>
        <w:ind w:left="709"/>
        <w:jc w:val="both"/>
        <w:rPr>
          <w:b/>
        </w:rPr>
      </w:pPr>
      <w:r w:rsidRPr="00964DA1">
        <w:rPr>
          <w:b/>
        </w:rPr>
        <w:t>яз</w:t>
      </w:r>
      <w:r w:rsidRPr="00964DA1">
        <w:t xml:space="preserve">. </w:t>
      </w:r>
      <w:r w:rsidRPr="00964DA1">
        <w:rPr>
          <w:b/>
        </w:rPr>
        <w:t>Студена</w:t>
      </w:r>
      <w:r w:rsidRPr="00964DA1">
        <w:t xml:space="preserve"> (община Перник) – 32 млн. лв. за </w:t>
      </w:r>
      <w:r w:rsidRPr="00964DA1">
        <w:rPr>
          <w:b/>
        </w:rPr>
        <w:t>рехабилитация</w:t>
      </w:r>
      <w:r w:rsidRPr="00964DA1">
        <w:t>, за която ще бъде използван иновативен подход, като дейностите ще се извършват подводно, без спиране на водоподаването за гражданите и без източване на язовира;</w:t>
      </w:r>
    </w:p>
    <w:p w:rsidR="00787F38" w:rsidRPr="00964DA1" w:rsidRDefault="00787F38" w:rsidP="0054656A">
      <w:pPr>
        <w:pStyle w:val="Standard"/>
        <w:numPr>
          <w:ilvl w:val="1"/>
          <w:numId w:val="29"/>
        </w:numPr>
        <w:tabs>
          <w:tab w:val="left" w:pos="709"/>
        </w:tabs>
        <w:spacing w:line="360" w:lineRule="auto"/>
        <w:ind w:left="709"/>
        <w:jc w:val="both"/>
        <w:rPr>
          <w:b/>
        </w:rPr>
      </w:pPr>
      <w:r w:rsidRPr="00964DA1">
        <w:rPr>
          <w:b/>
        </w:rPr>
        <w:lastRenderedPageBreak/>
        <w:t xml:space="preserve">ПСПВ Студена </w:t>
      </w:r>
      <w:r w:rsidRPr="00964DA1">
        <w:t>– индикативна стойност на дейностите от 2 млн. лв., като предстои процедура за избор на строител.</w:t>
      </w:r>
    </w:p>
    <w:p w:rsidR="00787F38" w:rsidRPr="00964DA1" w:rsidRDefault="00787F38" w:rsidP="005C2547">
      <w:pPr>
        <w:pStyle w:val="Standard"/>
        <w:tabs>
          <w:tab w:val="left" w:pos="709"/>
        </w:tabs>
        <w:spacing w:line="360" w:lineRule="auto"/>
        <w:jc w:val="both"/>
        <w:rPr>
          <w:b/>
          <w:szCs w:val="24"/>
        </w:rPr>
      </w:pPr>
      <w:r w:rsidRPr="00964DA1">
        <w:rPr>
          <w:b/>
        </w:rPr>
        <w:tab/>
        <w:t xml:space="preserve">Инвестиции в отрасъл ВиК, </w:t>
      </w:r>
      <w:r w:rsidRPr="00964DA1">
        <w:t xml:space="preserve">направени по линия на бюджета на МРРБ за изграждане на водоснабдителни и канализационни системи и съоръжения са в размер на </w:t>
      </w:r>
      <w:r w:rsidRPr="00964DA1">
        <w:rPr>
          <w:b/>
        </w:rPr>
        <w:t>близо 51 млн. лв. и обхващат 23 административни области в страната.</w:t>
      </w:r>
      <w:r w:rsidRPr="00964DA1">
        <w:t xml:space="preserve"> С тях съществено се подобрява състоянието на инфраструктурата и се повишава качеството на предоставяните ВиК услуги на населението.</w:t>
      </w:r>
    </w:p>
    <w:p w:rsidR="00787F38" w:rsidRPr="00964DA1" w:rsidRDefault="00787F38" w:rsidP="005C2547">
      <w:pPr>
        <w:pStyle w:val="Standard"/>
        <w:tabs>
          <w:tab w:val="left" w:pos="709"/>
        </w:tabs>
        <w:spacing w:line="360" w:lineRule="auto"/>
        <w:jc w:val="both"/>
        <w:rPr>
          <w:szCs w:val="24"/>
        </w:rPr>
      </w:pPr>
      <w:r w:rsidRPr="00964DA1">
        <w:tab/>
        <w:t>Министерството на регионалното развитие и благоустройството</w:t>
      </w:r>
      <w:r>
        <w:t xml:space="preserve"> </w:t>
      </w:r>
      <w:r w:rsidRPr="00964DA1">
        <w:t xml:space="preserve">започна прилагането на </w:t>
      </w:r>
      <w:r w:rsidRPr="0086635C">
        <w:rPr>
          <w:b/>
        </w:rPr>
        <w:t>инвестиционна програма „Чисти питейни води“,</w:t>
      </w:r>
      <w:r w:rsidRPr="00964DA1">
        <w:t xml:space="preserve"> по която всяка година са предвидени инвестиции за </w:t>
      </w:r>
      <w:r w:rsidRPr="0086635C">
        <w:rPr>
          <w:b/>
        </w:rPr>
        <w:t>20 млн. лв.</w:t>
      </w:r>
      <w:r w:rsidRPr="00964DA1">
        <w:t xml:space="preserve"> от бюджет</w:t>
      </w:r>
      <w:r>
        <w:t>а на министерството</w:t>
      </w:r>
      <w:r w:rsidRPr="00964DA1">
        <w:t xml:space="preserve"> в </w:t>
      </w:r>
      <w:r w:rsidRPr="00964DA1">
        <w:rPr>
          <w:szCs w:val="24"/>
        </w:rPr>
        <w:t>строителство на водопроводи и пречиствателни станции за питейни води в страната. Ще бъдат подкрепяни проекти за подобряване качеството на питейната вода или такива, с чието изпълнение ще се намалят загубите и ще се осигури съответствие с директивите на ЕС в областта на водите.</w:t>
      </w:r>
    </w:p>
    <w:p w:rsidR="00787F38" w:rsidRPr="00964DA1" w:rsidRDefault="00787F38" w:rsidP="005C2547">
      <w:pPr>
        <w:pStyle w:val="Standard"/>
        <w:tabs>
          <w:tab w:val="left" w:pos="709"/>
        </w:tabs>
        <w:spacing w:line="360" w:lineRule="auto"/>
        <w:jc w:val="both"/>
        <w:rPr>
          <w:b/>
          <w:szCs w:val="24"/>
        </w:rPr>
      </w:pPr>
      <w:r w:rsidRPr="00964DA1">
        <w:tab/>
        <w:t>Разработват се 14 регионални прединвестиционни проучвания, които ще са основа на апликационните форми, с които ще се кандидатства за финансиране от Оперативна програма „Околна среда“ 2014 – 2020 г. Такова проучване вече е направено пилотно за област Смолян.</w:t>
      </w:r>
    </w:p>
    <w:p w:rsidR="00787F38" w:rsidRPr="00964DA1" w:rsidRDefault="00787F38" w:rsidP="005C2547">
      <w:pPr>
        <w:pStyle w:val="Standard"/>
        <w:tabs>
          <w:tab w:val="left" w:pos="709"/>
        </w:tabs>
        <w:spacing w:line="360" w:lineRule="auto"/>
        <w:jc w:val="both"/>
        <w:rPr>
          <w:szCs w:val="24"/>
        </w:rPr>
      </w:pPr>
      <w:r w:rsidRPr="00964DA1">
        <w:rPr>
          <w:szCs w:val="24"/>
        </w:rPr>
        <w:tab/>
        <w:t>Направени са предложения за промени в законовата и подзаконовата нормативна уредба, свързани с отрасъл водоснабдяване и канализация, с които да се гарантира социалната поносимост на цените на ВиК услугите, повишаване на ефективността и устойчивост при предоставянето им.</w:t>
      </w:r>
    </w:p>
    <w:p w:rsidR="00787F38" w:rsidRPr="00964DA1" w:rsidRDefault="00787F38" w:rsidP="008B570F">
      <w:pPr>
        <w:pStyle w:val="Standard"/>
        <w:tabs>
          <w:tab w:val="left" w:pos="709"/>
        </w:tabs>
        <w:spacing w:line="360" w:lineRule="auto"/>
        <w:jc w:val="both"/>
      </w:pPr>
      <w:r w:rsidRPr="00964DA1">
        <w:rPr>
          <w:b/>
        </w:rPr>
        <w:tab/>
        <w:t>Реформата в отрасъл ВиК е на финала</w:t>
      </w:r>
      <w:r w:rsidRPr="00964DA1">
        <w:t xml:space="preserve">. Консолидирани са 21 от 28 области в страната, като по този начин те ще имат възможността да получат нужните средства за инвестиции във ВиК инфраструктурата и ще повишат качеството на предоставяните услуги. </w:t>
      </w:r>
      <w:r>
        <w:t>В</w:t>
      </w:r>
      <w:r w:rsidRPr="00F15D7A">
        <w:t xml:space="preserve"> 16 общини </w:t>
      </w:r>
      <w:r>
        <w:t xml:space="preserve">не е налице съгласие за консолидиране, с което се </w:t>
      </w:r>
      <w:r w:rsidRPr="00F15D7A">
        <w:t xml:space="preserve">лишава населението </w:t>
      </w:r>
      <w:r>
        <w:t>в тези 7 области на страната</w:t>
      </w:r>
      <w:r w:rsidRPr="00F15D7A">
        <w:t xml:space="preserve"> от инвестиции във ВиК инфраструктура и повишаване на нивото на услугата.</w:t>
      </w:r>
    </w:p>
    <w:p w:rsidR="00787F38" w:rsidRPr="00964DA1" w:rsidRDefault="00787F38" w:rsidP="005C2547">
      <w:pPr>
        <w:pStyle w:val="Standard"/>
        <w:tabs>
          <w:tab w:val="left" w:pos="709"/>
        </w:tabs>
        <w:spacing w:line="360" w:lineRule="auto"/>
        <w:jc w:val="both"/>
      </w:pPr>
      <w:r w:rsidRPr="00964DA1">
        <w:tab/>
        <w:t xml:space="preserve">За подпомагане на министъра </w:t>
      </w:r>
      <w:r>
        <w:t xml:space="preserve">на регионалното развитие и благоустройството </w:t>
      </w:r>
      <w:r w:rsidRPr="00964DA1">
        <w:t xml:space="preserve">при провеждане на реформата в отрасъла и в изпълнение на Плана за действие към Стратегията за развитие и управление на водоснабдяването и канализацията в Република България 2014-2023 г. беше създаден Съвет за координация на реформата в отрасъл „ВиК“. Към момента </w:t>
      </w:r>
      <w:r>
        <w:t>се отчита</w:t>
      </w:r>
      <w:r w:rsidRPr="00964DA1">
        <w:t xml:space="preserve"> завършването на трите основни направления на реформата, а именно публична собственост върху ВиК инфраструктурата, договорни </w:t>
      </w:r>
      <w:r w:rsidRPr="00964DA1">
        <w:lastRenderedPageBreak/>
        <w:t>отношения с ВиК операторите и планиране развитието на системите с регионални генерални планове. През 2015 г. се изгради материално-техническа база на всички асоциации по ВиК. През 2015 г. и 2016 г. се изготвиха и подписаха договорите между публичния собственик на инфраструктурата, представен от асоциациите по ВиК и ВиК операторите, с които се осигури стопанисването, поддръжката и експлоатацията на ВиК системите и съоръженията за период от 15 години, и се заложиха задължителните инвестиции, които ще се направят от страна на дружествата за развитието на системите.</w:t>
      </w:r>
    </w:p>
    <w:p w:rsidR="000B3AC8" w:rsidRPr="00964DA1" w:rsidRDefault="000B3AC8" w:rsidP="0054656A">
      <w:pPr>
        <w:pStyle w:val="Standard"/>
        <w:tabs>
          <w:tab w:val="left" w:pos="709"/>
        </w:tabs>
        <w:spacing w:line="360" w:lineRule="auto"/>
        <w:jc w:val="both"/>
      </w:pPr>
    </w:p>
    <w:p w:rsidR="00787F38" w:rsidRPr="00964DA1" w:rsidRDefault="00787F38" w:rsidP="00A975BB">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sz w:val="24"/>
          <w:szCs w:val="24"/>
        </w:rPr>
      </w:pPr>
      <w:r w:rsidRPr="00964DA1">
        <w:rPr>
          <w:rFonts w:ascii="Times New Roman" w:hAnsi="Times New Roman"/>
          <w:b/>
          <w:sz w:val="24"/>
          <w:szCs w:val="24"/>
        </w:rPr>
        <w:t>Жилищна политика</w:t>
      </w:r>
    </w:p>
    <w:p w:rsidR="00787F38" w:rsidRPr="00964DA1" w:rsidRDefault="00787F38" w:rsidP="008D18C1">
      <w:pPr>
        <w:spacing w:after="0" w:line="360" w:lineRule="auto"/>
        <w:jc w:val="both"/>
        <w:rPr>
          <w:rFonts w:ascii="Times New Roman" w:hAnsi="Times New Roman"/>
          <w:b/>
          <w:sz w:val="24"/>
          <w:szCs w:val="24"/>
        </w:rPr>
      </w:pPr>
    </w:p>
    <w:p w:rsidR="00787F38" w:rsidRPr="00FC0472" w:rsidRDefault="00787F38" w:rsidP="00FC0472">
      <w:pPr>
        <w:spacing w:after="0" w:line="360" w:lineRule="auto"/>
        <w:ind w:firstLine="708"/>
        <w:jc w:val="both"/>
        <w:rPr>
          <w:rFonts w:ascii="Times New Roman" w:hAnsi="Times New Roman"/>
          <w:sz w:val="24"/>
          <w:szCs w:val="24"/>
        </w:rPr>
      </w:pPr>
      <w:r w:rsidRPr="00FC0472">
        <w:rPr>
          <w:rFonts w:ascii="Times New Roman" w:hAnsi="Times New Roman"/>
          <w:sz w:val="24"/>
          <w:szCs w:val="24"/>
        </w:rPr>
        <w:t>За първи път в най-новата история на България правителството стартира мащабна социална програма с първоначален ресурс от 1 млрд. лв</w:t>
      </w:r>
      <w:r w:rsidRPr="00FC0472">
        <w:rPr>
          <w:rFonts w:ascii="Times New Roman" w:hAnsi="Times New Roman"/>
          <w:sz w:val="24"/>
          <w:szCs w:val="24"/>
          <w:lang w:val="ru-RU"/>
        </w:rPr>
        <w:t>.</w:t>
      </w:r>
      <w:r w:rsidRPr="00FC0472">
        <w:rPr>
          <w:rFonts w:ascii="Times New Roman" w:hAnsi="Times New Roman"/>
          <w:sz w:val="24"/>
          <w:szCs w:val="24"/>
        </w:rPr>
        <w:t xml:space="preserve"> за подобряване на жилищния фонд в страната - Национална програма за енергийна ефективност на многофамилни жилищни сгради (НПЕЕМЖС), приета с Постановление № 18 на Министерския съвет от 2015 г. за приемане на Национална програма за енергийна ефективност на многофамилните жилищни сгради, за условията и реда за предоставяне на безвъзмездна финансова помощ по програмата и за определяне на органите, отговорни за реализацията й.</w:t>
      </w:r>
    </w:p>
    <w:p w:rsidR="00787F38" w:rsidRPr="00FC0472" w:rsidRDefault="00787F38" w:rsidP="00FC0472">
      <w:pPr>
        <w:spacing w:after="0" w:line="360" w:lineRule="auto"/>
        <w:ind w:firstLine="708"/>
        <w:jc w:val="both"/>
        <w:rPr>
          <w:rFonts w:ascii="Times New Roman" w:hAnsi="Times New Roman"/>
          <w:sz w:val="24"/>
          <w:szCs w:val="24"/>
        </w:rPr>
      </w:pPr>
      <w:r w:rsidRPr="00FC0472">
        <w:rPr>
          <w:rFonts w:ascii="Times New Roman" w:hAnsi="Times New Roman"/>
          <w:sz w:val="24"/>
          <w:szCs w:val="24"/>
        </w:rPr>
        <w:t>Програмата е разработена и се реализира в изпълнение на правомощията на министъра на регионалното развитие и благоустройството, регламентирани в Закона за енергийната ефективност (ЗЕЕ). Съгласно чл. 6, т. 3 от ЗЕЕ държавната политика за енергийна ефективност в областта на реализирането на проекти, свързани с обновяване на жилищния сграден фонд и подобряване на енергийната ефективност в жилищните сгради в Република България, се провежда от министъра на регионалното развитие и благоустройството.</w:t>
      </w:r>
    </w:p>
    <w:p w:rsidR="00787F38" w:rsidRPr="00FC0472" w:rsidRDefault="00787F38" w:rsidP="00FC0472">
      <w:pPr>
        <w:spacing w:after="0" w:line="360" w:lineRule="auto"/>
        <w:ind w:firstLine="708"/>
        <w:jc w:val="both"/>
        <w:rPr>
          <w:rFonts w:ascii="Times New Roman" w:hAnsi="Times New Roman"/>
          <w:sz w:val="24"/>
          <w:szCs w:val="24"/>
        </w:rPr>
      </w:pPr>
      <w:r w:rsidRPr="00FC0472">
        <w:rPr>
          <w:rFonts w:ascii="Times New Roman" w:hAnsi="Times New Roman"/>
          <w:sz w:val="24"/>
          <w:szCs w:val="24"/>
        </w:rPr>
        <w:t xml:space="preserve">Въпреки мащабната антипропаганда по програмата, бяха преодолени резервите на гражданите и в момента програмата се реализира при невероятен успех. Постигнатите резултатите при обновените вече жилища показват намаляване на енергопотреблението между 40% и 60%, което допринася за увеличаване разполагаемия доход на домакинствата. </w:t>
      </w:r>
    </w:p>
    <w:p w:rsidR="00787F38" w:rsidRPr="00FC0472" w:rsidRDefault="00787F38" w:rsidP="00FC0472">
      <w:pPr>
        <w:spacing w:after="0" w:line="360" w:lineRule="auto"/>
        <w:ind w:firstLine="708"/>
        <w:jc w:val="both"/>
        <w:rPr>
          <w:rFonts w:ascii="Times New Roman" w:hAnsi="Times New Roman"/>
          <w:sz w:val="24"/>
          <w:szCs w:val="24"/>
        </w:rPr>
      </w:pPr>
      <w:r w:rsidRPr="00FC0472">
        <w:rPr>
          <w:rFonts w:ascii="Times New Roman" w:hAnsi="Times New Roman"/>
          <w:sz w:val="24"/>
          <w:szCs w:val="24"/>
        </w:rPr>
        <w:t xml:space="preserve">Програмата е насочена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 Цялостното обновяване на сградите, </w:t>
      </w:r>
      <w:r w:rsidRPr="00FC0472">
        <w:rPr>
          <w:rFonts w:ascii="Times New Roman" w:hAnsi="Times New Roman"/>
          <w:sz w:val="24"/>
          <w:szCs w:val="24"/>
        </w:rPr>
        <w:lastRenderedPageBreak/>
        <w:t>включващо не само мерки за енергийна ефективност, но и конструктивно укрепване, където е необходимо, удължава живота на сградите, повишава тяхната стойност.</w:t>
      </w:r>
    </w:p>
    <w:p w:rsidR="00787F38" w:rsidRPr="00FC0472" w:rsidRDefault="00787F38" w:rsidP="00FC0472">
      <w:pPr>
        <w:spacing w:after="0" w:line="360" w:lineRule="auto"/>
        <w:ind w:firstLine="708"/>
        <w:jc w:val="both"/>
        <w:rPr>
          <w:rFonts w:ascii="Times New Roman" w:hAnsi="Times New Roman"/>
          <w:sz w:val="24"/>
          <w:szCs w:val="24"/>
        </w:rPr>
      </w:pPr>
      <w:r w:rsidRPr="00FC0472">
        <w:rPr>
          <w:rFonts w:ascii="Times New Roman" w:hAnsi="Times New Roman"/>
          <w:sz w:val="24"/>
          <w:szCs w:val="24"/>
        </w:rPr>
        <w:t xml:space="preserve">Икономическият ефект от Програмата е свързан с предоставяне на повече възможности на бизнеса за икономическа активност – проектанти, строителен бранш, фирми за технически обследвания, фирми за обследвания за енергийна ефективност, производители на материали и др. Програмата има социален ефект, чрез достъпа на по-голям кръг от потенциални участници, предимно малки и средни фирми в цялата страна, до участие в реализирането й. </w:t>
      </w:r>
    </w:p>
    <w:p w:rsidR="00787F38" w:rsidRPr="00FC0472" w:rsidRDefault="00787F38" w:rsidP="00FC0472">
      <w:pPr>
        <w:spacing w:after="0" w:line="360" w:lineRule="auto"/>
        <w:jc w:val="both"/>
        <w:rPr>
          <w:rFonts w:ascii="Times New Roman" w:hAnsi="Times New Roman"/>
          <w:b/>
          <w:sz w:val="24"/>
          <w:szCs w:val="24"/>
        </w:rPr>
      </w:pPr>
    </w:p>
    <w:p w:rsidR="00787F38" w:rsidRPr="00FC0472" w:rsidRDefault="00787F38" w:rsidP="00FC0472">
      <w:pPr>
        <w:spacing w:after="0" w:line="360" w:lineRule="auto"/>
        <w:ind w:firstLine="708"/>
        <w:jc w:val="both"/>
        <w:rPr>
          <w:rFonts w:ascii="Times New Roman" w:hAnsi="Times New Roman"/>
          <w:b/>
          <w:sz w:val="24"/>
          <w:szCs w:val="24"/>
        </w:rPr>
      </w:pPr>
      <w:r w:rsidRPr="00FC0472">
        <w:rPr>
          <w:rFonts w:ascii="Times New Roman" w:hAnsi="Times New Roman"/>
          <w:b/>
          <w:sz w:val="24"/>
          <w:szCs w:val="24"/>
        </w:rPr>
        <w:t xml:space="preserve">Напредък по програмата </w:t>
      </w:r>
      <w:r w:rsidRPr="00FC0472">
        <w:rPr>
          <w:rFonts w:ascii="Times New Roman" w:hAnsi="Times New Roman"/>
          <w:i/>
          <w:sz w:val="24"/>
          <w:szCs w:val="24"/>
        </w:rPr>
        <w:t>(данни към 20.01.2017 г.)</w:t>
      </w:r>
      <w:r w:rsidRPr="00FC0472">
        <w:rPr>
          <w:rFonts w:ascii="Times New Roman" w:hAnsi="Times New Roman"/>
          <w:b/>
          <w:sz w:val="24"/>
          <w:szCs w:val="24"/>
        </w:rPr>
        <w:t>:</w:t>
      </w:r>
    </w:p>
    <w:p w:rsidR="00787F38" w:rsidRPr="00FC0472" w:rsidRDefault="00787F38" w:rsidP="00FC0472">
      <w:pPr>
        <w:numPr>
          <w:ilvl w:val="0"/>
          <w:numId w:val="6"/>
        </w:numPr>
        <w:spacing w:after="0" w:line="360" w:lineRule="auto"/>
        <w:contextualSpacing/>
        <w:jc w:val="both"/>
        <w:rPr>
          <w:rFonts w:ascii="Times New Roman" w:hAnsi="Times New Roman"/>
          <w:sz w:val="24"/>
          <w:szCs w:val="24"/>
        </w:rPr>
      </w:pPr>
      <w:r w:rsidRPr="00FC0472">
        <w:rPr>
          <w:rFonts w:ascii="Times New Roman" w:hAnsi="Times New Roman"/>
          <w:sz w:val="24"/>
          <w:szCs w:val="24"/>
        </w:rPr>
        <w:t>Регистрирани сдружения на собственици в страната – 5760;</w:t>
      </w:r>
    </w:p>
    <w:p w:rsidR="00787F38" w:rsidRPr="00FC0472" w:rsidRDefault="00787F38" w:rsidP="00FC0472">
      <w:pPr>
        <w:numPr>
          <w:ilvl w:val="0"/>
          <w:numId w:val="6"/>
        </w:numPr>
        <w:spacing w:after="0" w:line="360" w:lineRule="auto"/>
        <w:contextualSpacing/>
        <w:jc w:val="both"/>
        <w:rPr>
          <w:rFonts w:ascii="Times New Roman" w:hAnsi="Times New Roman"/>
          <w:sz w:val="24"/>
          <w:szCs w:val="24"/>
        </w:rPr>
      </w:pPr>
      <w:r w:rsidRPr="00FC0472">
        <w:rPr>
          <w:rFonts w:ascii="Times New Roman" w:hAnsi="Times New Roman"/>
          <w:sz w:val="24"/>
          <w:szCs w:val="24"/>
        </w:rPr>
        <w:t>Подадени заявления за интерес и финансова помощ – 4768;</w:t>
      </w:r>
    </w:p>
    <w:p w:rsidR="00787F38" w:rsidRPr="00FC0472" w:rsidRDefault="00787F38" w:rsidP="00FC0472">
      <w:pPr>
        <w:numPr>
          <w:ilvl w:val="0"/>
          <w:numId w:val="6"/>
        </w:numPr>
        <w:spacing w:after="0" w:line="360" w:lineRule="auto"/>
        <w:contextualSpacing/>
        <w:jc w:val="both"/>
        <w:rPr>
          <w:rFonts w:ascii="Times New Roman" w:hAnsi="Times New Roman"/>
          <w:sz w:val="24"/>
          <w:szCs w:val="24"/>
        </w:rPr>
      </w:pPr>
      <w:r w:rsidRPr="00FC0472">
        <w:rPr>
          <w:rFonts w:ascii="Times New Roman" w:hAnsi="Times New Roman"/>
          <w:sz w:val="24"/>
          <w:szCs w:val="24"/>
        </w:rPr>
        <w:t>Одобрени заявления за интерес и финансова помощ - 4159;</w:t>
      </w:r>
    </w:p>
    <w:p w:rsidR="00787F38" w:rsidRPr="00FC0472" w:rsidRDefault="00787F38" w:rsidP="00FC0472">
      <w:pPr>
        <w:numPr>
          <w:ilvl w:val="0"/>
          <w:numId w:val="6"/>
        </w:numPr>
        <w:spacing w:after="0" w:line="360" w:lineRule="auto"/>
        <w:contextualSpacing/>
        <w:jc w:val="both"/>
        <w:rPr>
          <w:rFonts w:ascii="Times New Roman" w:hAnsi="Times New Roman"/>
          <w:sz w:val="24"/>
          <w:szCs w:val="24"/>
        </w:rPr>
      </w:pPr>
      <w:r w:rsidRPr="00FC0472">
        <w:rPr>
          <w:rFonts w:ascii="Times New Roman" w:hAnsi="Times New Roman"/>
          <w:sz w:val="24"/>
          <w:szCs w:val="24"/>
        </w:rPr>
        <w:t>Сключени договори община – сдружение на собственици – 4111;</w:t>
      </w:r>
    </w:p>
    <w:p w:rsidR="00787F38" w:rsidRPr="00FC0472" w:rsidRDefault="00787F38" w:rsidP="00FC0472">
      <w:pPr>
        <w:numPr>
          <w:ilvl w:val="0"/>
          <w:numId w:val="6"/>
        </w:numPr>
        <w:spacing w:after="0" w:line="360" w:lineRule="auto"/>
        <w:contextualSpacing/>
        <w:jc w:val="both"/>
        <w:rPr>
          <w:rFonts w:ascii="Times New Roman" w:hAnsi="Times New Roman"/>
          <w:sz w:val="24"/>
          <w:szCs w:val="24"/>
        </w:rPr>
      </w:pPr>
      <w:r w:rsidRPr="00FC0472">
        <w:rPr>
          <w:rFonts w:ascii="Times New Roman" w:hAnsi="Times New Roman"/>
          <w:sz w:val="24"/>
          <w:szCs w:val="24"/>
        </w:rPr>
        <w:t>Искания за сключване на договори за целево финансиране към Българска банка за развитие АД – 3977;</w:t>
      </w:r>
    </w:p>
    <w:p w:rsidR="00787F38" w:rsidRPr="00FC0472" w:rsidRDefault="00787F38" w:rsidP="00FC0472">
      <w:pPr>
        <w:numPr>
          <w:ilvl w:val="0"/>
          <w:numId w:val="6"/>
        </w:numPr>
        <w:spacing w:after="0" w:line="360" w:lineRule="auto"/>
        <w:contextualSpacing/>
        <w:jc w:val="both"/>
        <w:rPr>
          <w:rFonts w:ascii="Times New Roman" w:hAnsi="Times New Roman"/>
          <w:sz w:val="24"/>
          <w:szCs w:val="24"/>
        </w:rPr>
      </w:pPr>
      <w:r w:rsidRPr="00FC0472">
        <w:rPr>
          <w:rFonts w:ascii="Times New Roman" w:hAnsi="Times New Roman"/>
          <w:sz w:val="24"/>
          <w:szCs w:val="24"/>
        </w:rPr>
        <w:t>Сключени договори за целево финансиране с Българска банка за развитие АД – 2022;</w:t>
      </w:r>
    </w:p>
    <w:p w:rsidR="00787F38" w:rsidRPr="00FC0472" w:rsidRDefault="00787F38" w:rsidP="00FC0472">
      <w:pPr>
        <w:numPr>
          <w:ilvl w:val="0"/>
          <w:numId w:val="6"/>
        </w:numPr>
        <w:spacing w:after="0" w:line="360" w:lineRule="auto"/>
        <w:contextualSpacing/>
        <w:jc w:val="both"/>
        <w:rPr>
          <w:rFonts w:ascii="Times New Roman" w:hAnsi="Times New Roman"/>
          <w:sz w:val="24"/>
          <w:szCs w:val="24"/>
        </w:rPr>
      </w:pPr>
      <w:r w:rsidRPr="00FC0472">
        <w:rPr>
          <w:rFonts w:ascii="Times New Roman" w:hAnsi="Times New Roman"/>
          <w:sz w:val="24"/>
          <w:szCs w:val="24"/>
        </w:rPr>
        <w:t>Сгради със стартирали дейности по обновяване – 1921;</w:t>
      </w:r>
    </w:p>
    <w:p w:rsidR="00787F38" w:rsidRPr="00FC0472" w:rsidRDefault="00787F38" w:rsidP="00FC0472">
      <w:pPr>
        <w:numPr>
          <w:ilvl w:val="0"/>
          <w:numId w:val="6"/>
        </w:numPr>
        <w:spacing w:after="0" w:line="360" w:lineRule="auto"/>
        <w:contextualSpacing/>
        <w:jc w:val="both"/>
        <w:rPr>
          <w:rFonts w:ascii="Times New Roman" w:hAnsi="Times New Roman"/>
          <w:sz w:val="24"/>
          <w:szCs w:val="24"/>
        </w:rPr>
      </w:pPr>
      <w:r w:rsidRPr="00FC0472">
        <w:rPr>
          <w:rFonts w:ascii="Times New Roman" w:hAnsi="Times New Roman"/>
          <w:sz w:val="24"/>
          <w:szCs w:val="24"/>
        </w:rPr>
        <w:t>Сгради със стартирали строително-монтажни работи – 539;</w:t>
      </w:r>
    </w:p>
    <w:p w:rsidR="00787F38" w:rsidRPr="00FC0472" w:rsidRDefault="00787F38" w:rsidP="00FC0472">
      <w:pPr>
        <w:numPr>
          <w:ilvl w:val="0"/>
          <w:numId w:val="6"/>
        </w:numPr>
        <w:spacing w:after="0" w:line="360" w:lineRule="auto"/>
        <w:contextualSpacing/>
        <w:jc w:val="both"/>
        <w:rPr>
          <w:rFonts w:ascii="Times New Roman" w:hAnsi="Times New Roman"/>
          <w:sz w:val="24"/>
          <w:szCs w:val="24"/>
        </w:rPr>
      </w:pPr>
      <w:r w:rsidRPr="00FC0472">
        <w:rPr>
          <w:rFonts w:ascii="Times New Roman" w:hAnsi="Times New Roman"/>
          <w:sz w:val="24"/>
          <w:szCs w:val="24"/>
        </w:rPr>
        <w:t>Сгради, въведени в експлоатация – 228.</w:t>
      </w:r>
    </w:p>
    <w:p w:rsidR="00787F38" w:rsidRPr="00FC0472" w:rsidRDefault="00787F38" w:rsidP="00FC0472">
      <w:pPr>
        <w:rPr>
          <w:rFonts w:ascii="Times New Roman" w:hAnsi="Times New Roman"/>
          <w:b/>
          <w:sz w:val="24"/>
          <w:szCs w:val="24"/>
        </w:rPr>
      </w:pPr>
      <w:bookmarkStart w:id="0" w:name="_GoBack"/>
      <w:bookmarkEnd w:id="0"/>
    </w:p>
    <w:p w:rsidR="00787F38" w:rsidRPr="00FC0472" w:rsidRDefault="00787F38" w:rsidP="00FC0472">
      <w:pPr>
        <w:spacing w:after="0" w:line="360" w:lineRule="auto"/>
        <w:ind w:firstLine="709"/>
        <w:jc w:val="both"/>
        <w:rPr>
          <w:rFonts w:ascii="Times New Roman" w:hAnsi="Times New Roman"/>
          <w:sz w:val="24"/>
          <w:szCs w:val="24"/>
        </w:rPr>
      </w:pPr>
      <w:r w:rsidRPr="00FC0472">
        <w:rPr>
          <w:rFonts w:ascii="Times New Roman" w:hAnsi="Times New Roman"/>
          <w:sz w:val="24"/>
          <w:szCs w:val="24"/>
        </w:rPr>
        <w:t>С Решение от 18.01.2017 г. Народното събрание</w:t>
      </w:r>
      <w:r>
        <w:rPr>
          <w:rFonts w:ascii="Times New Roman" w:hAnsi="Times New Roman"/>
          <w:sz w:val="24"/>
          <w:szCs w:val="24"/>
        </w:rPr>
        <w:t xml:space="preserve"> </w:t>
      </w:r>
      <w:r w:rsidRPr="00FC0472">
        <w:rPr>
          <w:rFonts w:ascii="Times New Roman" w:hAnsi="Times New Roman"/>
          <w:sz w:val="24"/>
          <w:szCs w:val="24"/>
        </w:rPr>
        <w:t xml:space="preserve">даде подкрепа за продължаване на изпълнението на НПЕЕМЖС и на действията на Министерския съвет за увеличаване на финансовия ресурс на 2 млрд. лв. </w:t>
      </w:r>
      <w:r>
        <w:rPr>
          <w:rFonts w:ascii="Times New Roman" w:hAnsi="Times New Roman"/>
          <w:sz w:val="24"/>
          <w:szCs w:val="24"/>
        </w:rPr>
        <w:t>В резултат на това,</w:t>
      </w:r>
      <w:r w:rsidRPr="00FC0472">
        <w:rPr>
          <w:rFonts w:ascii="Times New Roman" w:hAnsi="Times New Roman"/>
          <w:sz w:val="24"/>
          <w:szCs w:val="24"/>
        </w:rPr>
        <w:t xml:space="preserve"> на заседание на Министерски съвет на 2</w:t>
      </w:r>
      <w:r>
        <w:rPr>
          <w:rFonts w:ascii="Times New Roman" w:hAnsi="Times New Roman"/>
          <w:sz w:val="24"/>
          <w:szCs w:val="24"/>
        </w:rPr>
        <w:t>5</w:t>
      </w:r>
      <w:r w:rsidRPr="00FC0472">
        <w:rPr>
          <w:rFonts w:ascii="Times New Roman" w:hAnsi="Times New Roman"/>
          <w:sz w:val="24"/>
          <w:szCs w:val="24"/>
        </w:rPr>
        <w:t xml:space="preserve">.01.2017 г. </w:t>
      </w:r>
      <w:r>
        <w:rPr>
          <w:rFonts w:ascii="Times New Roman" w:hAnsi="Times New Roman"/>
          <w:sz w:val="24"/>
          <w:szCs w:val="24"/>
        </w:rPr>
        <w:t>беше прието</w:t>
      </w:r>
      <w:r w:rsidRPr="00FC0472">
        <w:rPr>
          <w:rFonts w:ascii="Times New Roman" w:hAnsi="Times New Roman"/>
          <w:sz w:val="24"/>
          <w:szCs w:val="24"/>
        </w:rPr>
        <w:t xml:space="preserve"> Постановление на Министерския съвет за изменение и допълнение на Постановление № 18 на Министерския съвет от 2015 г. за приемане на Национална програма за енергийна ефективност на многофамилните жилищни сгради, за условията и реда за предоставяне на безвъзмездна финансова помощ по програмата и за определяне на органите, отговорни за реализацията й. </w:t>
      </w:r>
      <w:r>
        <w:rPr>
          <w:rFonts w:ascii="Times New Roman" w:hAnsi="Times New Roman"/>
          <w:sz w:val="24"/>
          <w:szCs w:val="24"/>
        </w:rPr>
        <w:t>С приетите промени</w:t>
      </w:r>
      <w:r w:rsidRPr="00FC0472">
        <w:rPr>
          <w:rFonts w:ascii="Times New Roman" w:hAnsi="Times New Roman"/>
          <w:sz w:val="24"/>
          <w:szCs w:val="24"/>
        </w:rPr>
        <w:t xml:space="preserve"> ще се осигури допълнителен финансов ресурс за обезпечаване продължаването на изпълнението на Програмата, която е израз на последователната политика на </w:t>
      </w:r>
      <w:r w:rsidRPr="00FC0472">
        <w:rPr>
          <w:rFonts w:ascii="Times New Roman" w:hAnsi="Times New Roman"/>
          <w:sz w:val="24"/>
          <w:szCs w:val="24"/>
        </w:rPr>
        <w:lastRenderedPageBreak/>
        <w:t>правителството за подобряване на енергийната ефективност и условията на живот в многофамилните жилищни сгради.</w:t>
      </w:r>
    </w:p>
    <w:p w:rsidR="00787F38" w:rsidRPr="00FC0472" w:rsidRDefault="00787F38" w:rsidP="00FC0472">
      <w:pPr>
        <w:spacing w:after="0" w:line="360" w:lineRule="auto"/>
        <w:ind w:firstLine="708"/>
        <w:jc w:val="both"/>
        <w:rPr>
          <w:rFonts w:ascii="Times New Roman" w:hAnsi="Times New Roman"/>
          <w:sz w:val="24"/>
          <w:szCs w:val="24"/>
        </w:rPr>
      </w:pPr>
      <w:r w:rsidRPr="00FC0472">
        <w:rPr>
          <w:rFonts w:ascii="Times New Roman" w:hAnsi="Times New Roman"/>
          <w:sz w:val="24"/>
          <w:szCs w:val="24"/>
        </w:rPr>
        <w:t>В резултат на ускорена работа от началото на мандата на правителството бяха завършени в пълнота 158 сгради в 34 градски центъра по финансирания със средства от ОПРР 2007-2013 проект „Енергийно обновяване на българските домове“. Поради  драстичното забавяне на проекта от правителството „Орешарски“, други 137 сгради от проекта, за които са извършени технически и енергийни обследвания и са изработени инвестиционни проекти, не успяха да бъдат реализирани със средства от оперативната програма. Въпреки това</w:t>
      </w:r>
      <w:r>
        <w:rPr>
          <w:rFonts w:ascii="Times New Roman" w:hAnsi="Times New Roman"/>
          <w:sz w:val="24"/>
          <w:szCs w:val="24"/>
        </w:rPr>
        <w:t>,</w:t>
      </w:r>
      <w:r w:rsidRPr="00FC0472">
        <w:rPr>
          <w:rFonts w:ascii="Times New Roman" w:hAnsi="Times New Roman"/>
          <w:sz w:val="24"/>
          <w:szCs w:val="24"/>
        </w:rPr>
        <w:t xml:space="preserve"> обновяването на сградите не бе спряно </w:t>
      </w:r>
      <w:r>
        <w:rPr>
          <w:rFonts w:ascii="Times New Roman" w:hAnsi="Times New Roman"/>
          <w:sz w:val="24"/>
          <w:szCs w:val="24"/>
        </w:rPr>
        <w:t>и</w:t>
      </w:r>
      <w:r w:rsidRPr="00FC0472">
        <w:rPr>
          <w:rFonts w:ascii="Times New Roman" w:hAnsi="Times New Roman"/>
          <w:sz w:val="24"/>
          <w:szCs w:val="24"/>
        </w:rPr>
        <w:t xml:space="preserve"> те бяха прехвърлени за финансиране към НПЕЕМЖС.</w:t>
      </w:r>
    </w:p>
    <w:p w:rsidR="00787F38" w:rsidRPr="00964DA1" w:rsidRDefault="00787F38" w:rsidP="00FC0472">
      <w:pPr>
        <w:spacing w:after="0" w:line="360" w:lineRule="auto"/>
        <w:jc w:val="both"/>
        <w:rPr>
          <w:rFonts w:ascii="Times New Roman" w:hAnsi="Times New Roman"/>
          <w:sz w:val="24"/>
          <w:szCs w:val="24"/>
        </w:rPr>
      </w:pPr>
    </w:p>
    <w:p w:rsidR="00787F38" w:rsidRPr="00964DA1" w:rsidRDefault="00787F38" w:rsidP="00273D73">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sz w:val="24"/>
          <w:szCs w:val="24"/>
        </w:rPr>
      </w:pPr>
      <w:r w:rsidRPr="00964DA1">
        <w:rPr>
          <w:rFonts w:ascii="Times New Roman" w:hAnsi="Times New Roman"/>
          <w:b/>
          <w:sz w:val="24"/>
          <w:szCs w:val="24"/>
        </w:rPr>
        <w:t>Кадастър</w:t>
      </w:r>
    </w:p>
    <w:p w:rsidR="00787F38" w:rsidRPr="00964DA1" w:rsidRDefault="00787F38" w:rsidP="00DB510E">
      <w:pPr>
        <w:spacing w:after="0" w:line="360" w:lineRule="auto"/>
        <w:jc w:val="both"/>
        <w:rPr>
          <w:rFonts w:ascii="Times New Roman" w:hAnsi="Times New Roman"/>
          <w:sz w:val="24"/>
          <w:szCs w:val="24"/>
        </w:rPr>
      </w:pPr>
    </w:p>
    <w:p w:rsidR="00787F38" w:rsidRPr="00964DA1" w:rsidRDefault="00787F38" w:rsidP="00DB510E">
      <w:pPr>
        <w:spacing w:after="0" w:line="360" w:lineRule="auto"/>
        <w:ind w:firstLine="708"/>
        <w:jc w:val="both"/>
        <w:rPr>
          <w:rFonts w:ascii="Times New Roman" w:hAnsi="Times New Roman"/>
          <w:sz w:val="24"/>
          <w:szCs w:val="24"/>
        </w:rPr>
      </w:pPr>
      <w:r w:rsidRPr="00964DA1">
        <w:rPr>
          <w:rFonts w:ascii="Times New Roman" w:hAnsi="Times New Roman"/>
          <w:b/>
          <w:sz w:val="24"/>
          <w:szCs w:val="24"/>
        </w:rPr>
        <w:t>Реформата в кадастъра е факт. В резултат от направените усилия, покритието на територията на страната с кадастрална карта ще бъде над 95% до 2019 г. В момента то е 22%.</w:t>
      </w:r>
      <w:r w:rsidRPr="00964DA1">
        <w:rPr>
          <w:rFonts w:ascii="Times New Roman" w:hAnsi="Times New Roman"/>
          <w:sz w:val="24"/>
          <w:szCs w:val="24"/>
        </w:rPr>
        <w:t xml:space="preserve"> </w:t>
      </w:r>
      <w:r w:rsidRPr="00964DA1">
        <w:rPr>
          <w:rFonts w:ascii="Times New Roman" w:hAnsi="Times New Roman"/>
          <w:b/>
          <w:sz w:val="24"/>
          <w:szCs w:val="24"/>
        </w:rPr>
        <w:t xml:space="preserve"> </w:t>
      </w:r>
      <w:r w:rsidRPr="00964DA1">
        <w:rPr>
          <w:rFonts w:ascii="Times New Roman" w:hAnsi="Times New Roman"/>
          <w:sz w:val="24"/>
          <w:szCs w:val="24"/>
        </w:rPr>
        <w:t>Услугите с кадастрална информация за над 90% от страната са концентрирани в един административен орган – Агенцията по геодезия, картография и кадастър и ще бъдат предоставяни “на едно гише”; цената на услугите ще бъде 30% по-евтина, вследствие на проведената реформа и въвеждането на електронна услуга за издаване на скици. Очакваният ефект е потребителите да спестят време и средства от редене на опашки или пътуване до населеното място, където се намира имотът.</w:t>
      </w:r>
    </w:p>
    <w:p w:rsidR="00787F38" w:rsidRPr="00964DA1" w:rsidRDefault="00787F38" w:rsidP="00DB510E">
      <w:pPr>
        <w:spacing w:after="0" w:line="360" w:lineRule="auto"/>
        <w:ind w:firstLine="708"/>
        <w:jc w:val="both"/>
        <w:rPr>
          <w:rFonts w:ascii="Times New Roman" w:hAnsi="Times New Roman"/>
          <w:sz w:val="24"/>
          <w:szCs w:val="24"/>
        </w:rPr>
      </w:pPr>
      <w:r w:rsidRPr="00964DA1">
        <w:rPr>
          <w:rFonts w:ascii="Times New Roman" w:hAnsi="Times New Roman"/>
          <w:sz w:val="24"/>
          <w:szCs w:val="24"/>
        </w:rPr>
        <w:t>Част от реформата е приетата от Министерския съвет Концепция за ускорено създаване на кадастрална карта и кадастрални регистри и за ускоряване на процеса по създаване на имотен регистър.</w:t>
      </w:r>
    </w:p>
    <w:p w:rsidR="00787F38" w:rsidRPr="00964DA1" w:rsidRDefault="00787F38" w:rsidP="00DB510E">
      <w:pPr>
        <w:spacing w:after="0" w:line="360" w:lineRule="auto"/>
        <w:ind w:firstLine="708"/>
        <w:jc w:val="both"/>
        <w:rPr>
          <w:rFonts w:ascii="Times New Roman" w:hAnsi="Times New Roman"/>
          <w:sz w:val="24"/>
          <w:szCs w:val="24"/>
        </w:rPr>
      </w:pPr>
      <w:r w:rsidRPr="00964DA1">
        <w:rPr>
          <w:rFonts w:ascii="Times New Roman" w:hAnsi="Times New Roman"/>
          <w:sz w:val="24"/>
          <w:szCs w:val="24"/>
        </w:rPr>
        <w:t>С промените в Закона за кадастъра и имотния регистър от м.</w:t>
      </w:r>
      <w:r>
        <w:rPr>
          <w:rFonts w:ascii="Times New Roman" w:hAnsi="Times New Roman"/>
          <w:sz w:val="24"/>
          <w:szCs w:val="24"/>
        </w:rPr>
        <w:t xml:space="preserve"> </w:t>
      </w:r>
      <w:r w:rsidRPr="00964DA1">
        <w:rPr>
          <w:rFonts w:ascii="Times New Roman" w:hAnsi="Times New Roman"/>
          <w:sz w:val="24"/>
          <w:szCs w:val="24"/>
        </w:rPr>
        <w:t xml:space="preserve">юли 2016 г. е регламентирана процедурата за ускорено създаване на кадастрална карта, чрез преобразуване на данните от Картата на възстановената собственост. Създадена е нормативна възможност в процеса на поддържане на кадастрални карти и кадастрални регистри в актуално състояние да бъдат изчистени явните фактически грешки в неурбанизираните територии. </w:t>
      </w:r>
    </w:p>
    <w:p w:rsidR="00787F38" w:rsidRPr="00964DA1" w:rsidRDefault="00787F38" w:rsidP="00DB510E">
      <w:pPr>
        <w:spacing w:after="0" w:line="360" w:lineRule="auto"/>
        <w:jc w:val="both"/>
        <w:rPr>
          <w:rFonts w:ascii="Times New Roman" w:hAnsi="Times New Roman"/>
          <w:sz w:val="24"/>
          <w:szCs w:val="24"/>
        </w:rPr>
      </w:pPr>
    </w:p>
    <w:p w:rsidR="00787F38" w:rsidRPr="00964DA1" w:rsidRDefault="00787F38" w:rsidP="00DB510E">
      <w:pPr>
        <w:spacing w:after="0" w:line="360" w:lineRule="auto"/>
        <w:ind w:firstLine="708"/>
        <w:jc w:val="both"/>
        <w:rPr>
          <w:rFonts w:ascii="Times New Roman" w:hAnsi="Times New Roman"/>
          <w:b/>
          <w:sz w:val="24"/>
          <w:szCs w:val="24"/>
        </w:rPr>
      </w:pPr>
      <w:r w:rsidRPr="00964DA1">
        <w:rPr>
          <w:rFonts w:ascii="Times New Roman" w:hAnsi="Times New Roman"/>
          <w:b/>
          <w:sz w:val="24"/>
          <w:szCs w:val="24"/>
        </w:rPr>
        <w:t>Кадастрална карта и кадастрални регистри</w:t>
      </w:r>
    </w:p>
    <w:p w:rsidR="00787F38" w:rsidRPr="00964DA1" w:rsidRDefault="00787F38" w:rsidP="003335F5">
      <w:pPr>
        <w:spacing w:after="0" w:line="360" w:lineRule="auto"/>
        <w:ind w:firstLine="708"/>
        <w:jc w:val="both"/>
        <w:rPr>
          <w:rFonts w:ascii="Times New Roman" w:hAnsi="Times New Roman"/>
          <w:sz w:val="24"/>
          <w:szCs w:val="24"/>
        </w:rPr>
      </w:pPr>
      <w:r w:rsidRPr="00964DA1">
        <w:rPr>
          <w:rFonts w:ascii="Times New Roman" w:hAnsi="Times New Roman"/>
          <w:sz w:val="24"/>
          <w:szCs w:val="24"/>
        </w:rPr>
        <w:lastRenderedPageBreak/>
        <w:t>В периода м. януари 2015 г. – м.октомври 2016 г. са одобрени кадастралната карта и кадастралните регистри (КККР) на 5 района на гр. София – Илинден, Възраждане, Изгрев, Красно село, Подуяне и летище София (част от район Слатина), на 11 общински центъра – Пещера (част), Белослав, Костинброд, Брегово, Червен бряг, Ново село, Каспичан, Радомир, Казанлък, Кула и Цар Калоян, на 96 населени места, на частта изключваща населените места от землищата на с. Антон, гр. Златица, гр. Пирдоп и с. Душанци, общ. Пирдоп и на с. Челопеч, обл. Софийска и за частта разположена извън границите на урбанизираната територия на землищата в общини Божурище, Самоков (без землището на с. Алино), Сливница, Вълчи дол и Суворово. Приети са кадастралната карта и кадастралните регистри на район Лозенец и район Слатина (останалата част без одобрена КККР), Столична община, гр. Бяла, общ. Бяла, обл. Русе, гр. Свиленград и с. Капитан Андреево, общ. Свиленград и гр. Оряхово, общ. Оряхово, обл. Враца.</w:t>
      </w:r>
    </w:p>
    <w:p w:rsidR="00787F38" w:rsidRPr="00964DA1" w:rsidRDefault="00787F38" w:rsidP="003335F5">
      <w:pPr>
        <w:spacing w:after="0" w:line="360" w:lineRule="auto"/>
        <w:ind w:firstLine="708"/>
        <w:jc w:val="both"/>
        <w:rPr>
          <w:rFonts w:ascii="Times New Roman" w:hAnsi="Times New Roman"/>
          <w:sz w:val="24"/>
          <w:szCs w:val="24"/>
        </w:rPr>
      </w:pPr>
      <w:r w:rsidRPr="00964DA1">
        <w:rPr>
          <w:rFonts w:ascii="Times New Roman" w:hAnsi="Times New Roman"/>
          <w:sz w:val="24"/>
          <w:szCs w:val="24"/>
        </w:rPr>
        <w:t>След проведени процедури по ЗОП, през 2016 г. са сключени договори за създаване на КККР за землищата на общински центрове гр. Сухиндол, гр. Мездра, гр. Велинград, гр. Чирпан, гр. Белоградчик, гр. Кнежа, гр. Долни Дъбник, гр. Трън, гр. Елена, гр. Горна Оряховица, гр. Грамада, с. Чупрене, гр. Бойчиновци, с. Черноочене, гр. Момчилград, гр. Перущица, гр. Костенец, с. Кайнарджа, с. Ситово,  гр. Неделино, гр. Ябланица, и други населени места от области Велико Търново, Габрово, Враца, Видин, Монтана, Плевен, Пазарджик, Благоевград, Ловеч, Кюстендил, Перник и др., както и договори за създаване на КККР на урбанизираните територии на общински центрове гр. Сливница и населени места в общини Сливница и Самоков. Предстои сключването на договори за създаване на КККР на  землищата на с. Чавдар и на населени места в общини Мездра и Брезник, както и за създаване на КККР на урбанизираните територии на населени места в общини Пирдоп, Челопеч, Антон, Златица, област София; Вълчи дол и Суворово, област Варна.</w:t>
      </w:r>
    </w:p>
    <w:p w:rsidR="00787F38" w:rsidRPr="00964DA1" w:rsidRDefault="00787F38" w:rsidP="00251192">
      <w:pPr>
        <w:spacing w:after="0" w:line="360" w:lineRule="auto"/>
        <w:jc w:val="both"/>
        <w:rPr>
          <w:rFonts w:ascii="Times New Roman" w:hAnsi="Times New Roman"/>
          <w:b/>
          <w:sz w:val="24"/>
          <w:szCs w:val="24"/>
          <w:u w:val="single"/>
        </w:rPr>
      </w:pPr>
    </w:p>
    <w:p w:rsidR="00787F38" w:rsidRPr="00964DA1" w:rsidRDefault="00787F38" w:rsidP="003335F5">
      <w:pPr>
        <w:spacing w:after="0" w:line="360" w:lineRule="auto"/>
        <w:ind w:firstLine="708"/>
        <w:jc w:val="both"/>
        <w:rPr>
          <w:rFonts w:ascii="Times New Roman" w:hAnsi="Times New Roman"/>
          <w:b/>
          <w:sz w:val="24"/>
          <w:szCs w:val="24"/>
        </w:rPr>
      </w:pPr>
      <w:r w:rsidRPr="00964DA1">
        <w:rPr>
          <w:rFonts w:ascii="Times New Roman" w:hAnsi="Times New Roman"/>
          <w:b/>
          <w:sz w:val="24"/>
          <w:szCs w:val="24"/>
        </w:rPr>
        <w:t>Създаване на специализирани карти и регистри (СпКР) по Закона за устройството на Черноморското крайбрежие</w:t>
      </w:r>
    </w:p>
    <w:p w:rsidR="00787F38" w:rsidRPr="00964DA1" w:rsidRDefault="00787F38" w:rsidP="003335F5">
      <w:pPr>
        <w:spacing w:after="0" w:line="360" w:lineRule="auto"/>
        <w:ind w:firstLine="708"/>
        <w:jc w:val="both"/>
        <w:rPr>
          <w:rFonts w:ascii="Times New Roman" w:hAnsi="Times New Roman"/>
          <w:sz w:val="24"/>
          <w:szCs w:val="24"/>
        </w:rPr>
      </w:pPr>
      <w:r w:rsidRPr="00964DA1">
        <w:rPr>
          <w:rFonts w:ascii="Times New Roman" w:hAnsi="Times New Roman"/>
          <w:sz w:val="24"/>
          <w:szCs w:val="24"/>
        </w:rPr>
        <w:t>През отчетния период са приети 39 СпКР на морски плажове и дюни, 29 СпКР на обекти по чл. 6, ал. 4 и 5 от ЗУЧК (крайбрежни езера, острови, лагуни, лимани, влажни зони, брегоукрепителни и брегозащитни системи и съоръжения) и са определени границите на охранителните зони „А” и „Б” на територията на 47 землища.</w:t>
      </w:r>
    </w:p>
    <w:p w:rsidR="00787F38" w:rsidRPr="00964DA1" w:rsidRDefault="00787F38" w:rsidP="00E6715D">
      <w:pPr>
        <w:spacing w:after="0" w:line="360" w:lineRule="auto"/>
        <w:jc w:val="both"/>
        <w:rPr>
          <w:rFonts w:ascii="Times New Roman" w:hAnsi="Times New Roman"/>
          <w:sz w:val="24"/>
          <w:szCs w:val="24"/>
        </w:rPr>
      </w:pPr>
    </w:p>
    <w:p w:rsidR="00787F38" w:rsidRPr="00964DA1" w:rsidRDefault="00787F38" w:rsidP="00A567A1">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sz w:val="24"/>
          <w:szCs w:val="24"/>
        </w:rPr>
      </w:pPr>
      <w:r w:rsidRPr="00964DA1">
        <w:rPr>
          <w:rFonts w:ascii="Times New Roman" w:hAnsi="Times New Roman"/>
          <w:b/>
          <w:sz w:val="24"/>
          <w:szCs w:val="24"/>
        </w:rPr>
        <w:lastRenderedPageBreak/>
        <w:t>Устройствено планиране</w:t>
      </w:r>
    </w:p>
    <w:p w:rsidR="00787F38" w:rsidRPr="00964DA1" w:rsidRDefault="00787F38" w:rsidP="00A567A1">
      <w:pPr>
        <w:pStyle w:val="ListParagraph"/>
        <w:spacing w:after="0" w:line="360" w:lineRule="auto"/>
        <w:jc w:val="both"/>
        <w:rPr>
          <w:rFonts w:ascii="Times New Roman" w:hAnsi="Times New Roman"/>
          <w:sz w:val="24"/>
          <w:szCs w:val="24"/>
        </w:rPr>
      </w:pPr>
    </w:p>
    <w:p w:rsidR="00054FCA" w:rsidRDefault="00054FCA" w:rsidP="00054FCA">
      <w:pPr>
        <w:spacing w:after="0" w:line="360" w:lineRule="auto"/>
        <w:ind w:firstLine="708"/>
        <w:jc w:val="both"/>
        <w:rPr>
          <w:rFonts w:ascii="Times New Roman" w:hAnsi="Times New Roman"/>
          <w:sz w:val="24"/>
          <w:szCs w:val="24"/>
        </w:rPr>
      </w:pPr>
      <w:r>
        <w:rPr>
          <w:rFonts w:ascii="Times New Roman" w:hAnsi="Times New Roman"/>
          <w:sz w:val="24"/>
          <w:szCs w:val="24"/>
        </w:rPr>
        <w:t>Народното събрание прие законопроекта за изменение и допълнение на Закона за устройство на територията, внесен от Министерският съвет с Решение № 925/04.11.2016 г. Основната му цел е адресиране на основните проблемни области, възпрепятстващи нарастването на инвестициите и постигане облекчаване на административните процедури и намаляване на административната тежест, като едновременно с това се повишат отговорността на общинските администрации и административният контрол върху дейността им, както и отговорността на неправителствения сектор, представен от проектантските браншови организации на архитектите и инженерите и от регистрираните фирми - консултанти в процесите на инвестиционното проектиране и строителството.</w:t>
      </w:r>
    </w:p>
    <w:p w:rsidR="00054FCA" w:rsidRPr="00054FCA" w:rsidRDefault="00054FCA" w:rsidP="00054FCA">
      <w:pPr>
        <w:spacing w:after="0" w:line="360" w:lineRule="auto"/>
        <w:ind w:firstLine="708"/>
        <w:jc w:val="both"/>
        <w:rPr>
          <w:rFonts w:ascii="Times New Roman" w:hAnsi="Times New Roman"/>
          <w:sz w:val="24"/>
          <w:szCs w:val="24"/>
        </w:rPr>
      </w:pPr>
      <w:r>
        <w:rPr>
          <w:rFonts w:ascii="Times New Roman" w:hAnsi="Times New Roman"/>
          <w:sz w:val="24"/>
          <w:szCs w:val="24"/>
        </w:rPr>
        <w:t xml:space="preserve">Ежегодно от </w:t>
      </w:r>
      <w:r w:rsidRPr="00054FCA">
        <w:rPr>
          <w:rFonts w:ascii="Times New Roman" w:hAnsi="Times New Roman"/>
          <w:sz w:val="24"/>
          <w:szCs w:val="24"/>
        </w:rPr>
        <w:t>бюджета на МРРБ се заделят 5 млн.лв. за финансово подпомагане изработването на задания и проекти на общи устройствени планове. През 2015 г. и 2016 г. са сключени 183 споразумения за финансово подпомагане изработването на задания и проекти на общи устройствени планове. В съответствие с изискванията на Закона за устройство на Черноморското крайбрежие за осигуряване на територията на 14-те крайбрежни общини с ОУП са изпълнени отделни етапи от изработването на плановете на общините Приморско, Балчик, Каварна, Царево и Бяла. Със заповед на министъра на регионалното развитие и благоустройството е одобрен  проект за Изменение на Общ устройствен план на община Созопол, Правилата и нормативите за неговото прилагане и Специфичните правила и нормативи за устройство и застрояване на територии за защита на културно-историческото наследство.</w:t>
      </w:r>
    </w:p>
    <w:p w:rsidR="00054FCA" w:rsidRPr="00054FCA" w:rsidRDefault="00054FCA" w:rsidP="00054FCA">
      <w:pPr>
        <w:spacing w:after="0" w:line="360" w:lineRule="auto"/>
        <w:ind w:firstLine="708"/>
        <w:jc w:val="both"/>
        <w:rPr>
          <w:rFonts w:ascii="Times New Roman" w:hAnsi="Times New Roman"/>
          <w:sz w:val="24"/>
          <w:szCs w:val="24"/>
        </w:rPr>
      </w:pPr>
      <w:r w:rsidRPr="00054FCA">
        <w:rPr>
          <w:rFonts w:ascii="Times New Roman" w:hAnsi="Times New Roman"/>
          <w:sz w:val="24"/>
          <w:szCs w:val="24"/>
        </w:rPr>
        <w:t>Издадени са 50 разрешения на министъра на регионалното развитие и благоустройството за изработване на подробни устройствени и парцеларни планове и техните изменения обекти на транспортната инфраструктура.</w:t>
      </w:r>
    </w:p>
    <w:p w:rsidR="00054FCA" w:rsidRPr="00054FCA" w:rsidRDefault="00054FCA" w:rsidP="00054FCA">
      <w:pPr>
        <w:spacing w:after="0" w:line="360" w:lineRule="auto"/>
        <w:ind w:firstLine="708"/>
        <w:jc w:val="both"/>
        <w:rPr>
          <w:rFonts w:ascii="Times New Roman" w:hAnsi="Times New Roman"/>
          <w:sz w:val="24"/>
          <w:szCs w:val="24"/>
        </w:rPr>
      </w:pPr>
      <w:r w:rsidRPr="00054FCA">
        <w:rPr>
          <w:rFonts w:ascii="Times New Roman" w:hAnsi="Times New Roman"/>
          <w:sz w:val="24"/>
          <w:szCs w:val="24"/>
        </w:rPr>
        <w:t>Разгледани са 54 проекта за изменение на общи устройствени планове на общини, подробни устройствени планове – парцеларни планове, ПУП-ПРЗ и техните изменения за обекти на транспортната инфраструктура, енергийни и ВиК обекти.</w:t>
      </w:r>
    </w:p>
    <w:p w:rsidR="00054FCA" w:rsidRPr="00054FCA" w:rsidRDefault="00054FCA" w:rsidP="00054FCA">
      <w:pPr>
        <w:spacing w:after="0" w:line="360" w:lineRule="auto"/>
        <w:ind w:firstLine="708"/>
        <w:jc w:val="both"/>
        <w:rPr>
          <w:rFonts w:ascii="Times New Roman" w:hAnsi="Times New Roman"/>
          <w:sz w:val="24"/>
          <w:szCs w:val="24"/>
        </w:rPr>
      </w:pPr>
      <w:r w:rsidRPr="00054FCA">
        <w:rPr>
          <w:rFonts w:ascii="Times New Roman" w:hAnsi="Times New Roman"/>
          <w:sz w:val="24"/>
          <w:szCs w:val="24"/>
        </w:rPr>
        <w:t>Издадени са и са влезли в сила 44 заповеди на министъра за одобряване на подробни устройствени планове и изменения на подробни устройствени планове за различни обекти, между които ОУП на община Созопол, транспортни и ВиК обекти.</w:t>
      </w:r>
    </w:p>
    <w:p w:rsidR="00787F38" w:rsidRPr="00054FCA" w:rsidRDefault="00054FCA" w:rsidP="00054FCA">
      <w:pPr>
        <w:spacing w:after="0" w:line="360" w:lineRule="auto"/>
        <w:ind w:firstLine="708"/>
        <w:jc w:val="both"/>
        <w:rPr>
          <w:rFonts w:ascii="Times New Roman" w:hAnsi="Times New Roman"/>
          <w:sz w:val="24"/>
          <w:szCs w:val="24"/>
        </w:rPr>
      </w:pPr>
      <w:r w:rsidRPr="00054FCA">
        <w:rPr>
          <w:rFonts w:ascii="Times New Roman" w:hAnsi="Times New Roman"/>
          <w:sz w:val="24"/>
          <w:szCs w:val="24"/>
        </w:rPr>
        <w:lastRenderedPageBreak/>
        <w:t>Издадени са 216 разрешения за строеж и допълнения на издадени разрешения за строеж за обекти на пътната инфраструктура, летища, енергийна и пристанищна пътна инфраструктура.</w:t>
      </w:r>
    </w:p>
    <w:p w:rsidR="00787F38" w:rsidRPr="00964DA1" w:rsidRDefault="00787F38" w:rsidP="00002BD6">
      <w:pPr>
        <w:spacing w:after="0" w:line="360" w:lineRule="auto"/>
        <w:jc w:val="both"/>
        <w:rPr>
          <w:rFonts w:ascii="Times New Roman" w:hAnsi="Times New Roman"/>
          <w:b/>
          <w:sz w:val="24"/>
          <w:szCs w:val="24"/>
          <w:u w:val="single"/>
        </w:rPr>
      </w:pPr>
    </w:p>
    <w:p w:rsidR="00787F38" w:rsidRPr="00964DA1" w:rsidRDefault="00787F38" w:rsidP="00DC4FA3">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sz w:val="24"/>
          <w:szCs w:val="24"/>
        </w:rPr>
      </w:pPr>
      <w:r w:rsidRPr="00964DA1">
        <w:rPr>
          <w:rFonts w:ascii="Times New Roman" w:hAnsi="Times New Roman"/>
          <w:b/>
          <w:sz w:val="24"/>
          <w:szCs w:val="24"/>
        </w:rPr>
        <w:t>Геозащита</w:t>
      </w:r>
    </w:p>
    <w:p w:rsidR="00787F38" w:rsidRPr="00964DA1" w:rsidRDefault="00787F38" w:rsidP="00F63802">
      <w:pPr>
        <w:pStyle w:val="ListParagraph"/>
        <w:spacing w:after="0" w:line="360" w:lineRule="auto"/>
        <w:jc w:val="both"/>
        <w:rPr>
          <w:rFonts w:ascii="Times New Roman" w:hAnsi="Times New Roman"/>
          <w:sz w:val="24"/>
          <w:szCs w:val="24"/>
        </w:rPr>
      </w:pPr>
    </w:p>
    <w:p w:rsidR="00787F38" w:rsidRPr="00964DA1" w:rsidRDefault="00787F38" w:rsidP="003335F5">
      <w:pPr>
        <w:spacing w:after="0" w:line="360" w:lineRule="auto"/>
        <w:ind w:firstLine="708"/>
        <w:jc w:val="both"/>
        <w:rPr>
          <w:rFonts w:ascii="Times New Roman" w:hAnsi="Times New Roman"/>
          <w:sz w:val="24"/>
          <w:szCs w:val="24"/>
        </w:rPr>
      </w:pPr>
      <w:r>
        <w:rPr>
          <w:rFonts w:ascii="Times New Roman" w:hAnsi="Times New Roman"/>
          <w:sz w:val="24"/>
          <w:szCs w:val="24"/>
        </w:rPr>
        <w:t>Приета е</w:t>
      </w:r>
      <w:r w:rsidRPr="00964DA1">
        <w:rPr>
          <w:rFonts w:ascii="Times New Roman" w:hAnsi="Times New Roman"/>
          <w:sz w:val="24"/>
          <w:szCs w:val="24"/>
        </w:rPr>
        <w:t xml:space="preserve"> Национална програма за превенция и ограничаване на свлачищата на територията на Република България, ерозията и абразията по Дунавското и Черноморското крайбрежие 2015-2020 г.</w:t>
      </w:r>
    </w:p>
    <w:p w:rsidR="00787F38" w:rsidRPr="00964DA1" w:rsidRDefault="00787F38" w:rsidP="003335F5">
      <w:pPr>
        <w:spacing w:after="0" w:line="360" w:lineRule="auto"/>
        <w:ind w:firstLine="708"/>
        <w:jc w:val="both"/>
        <w:rPr>
          <w:rFonts w:ascii="Times New Roman" w:hAnsi="Times New Roman"/>
          <w:sz w:val="24"/>
          <w:szCs w:val="24"/>
        </w:rPr>
      </w:pPr>
      <w:r w:rsidRPr="00964DA1">
        <w:rPr>
          <w:rFonts w:ascii="Times New Roman" w:hAnsi="Times New Roman"/>
          <w:sz w:val="24"/>
          <w:szCs w:val="24"/>
        </w:rPr>
        <w:t>На етап подготовка за кандидатстване по ОП „Околна среда 2014 – 2020“ са проекти за превенция и укрепване на свлачища на обща стойност 60 млн. лв.</w:t>
      </w:r>
    </w:p>
    <w:p w:rsidR="00787F38" w:rsidRPr="00964DA1" w:rsidRDefault="00787F38" w:rsidP="003335F5">
      <w:pPr>
        <w:spacing w:after="0" w:line="360" w:lineRule="auto"/>
        <w:ind w:firstLine="708"/>
        <w:jc w:val="both"/>
        <w:rPr>
          <w:rFonts w:ascii="Times New Roman" w:hAnsi="Times New Roman"/>
          <w:sz w:val="24"/>
          <w:szCs w:val="24"/>
        </w:rPr>
      </w:pPr>
      <w:r w:rsidRPr="00964DA1">
        <w:rPr>
          <w:rFonts w:ascii="Times New Roman" w:hAnsi="Times New Roman"/>
          <w:sz w:val="24"/>
          <w:szCs w:val="24"/>
        </w:rPr>
        <w:t>С приети от Народното събрание промени в Закона за устройства на територията беше въведена забрана за строителство в свлачищни райони без изградена канализация.</w:t>
      </w:r>
    </w:p>
    <w:p w:rsidR="00787F38" w:rsidRPr="00964DA1" w:rsidRDefault="00787F38" w:rsidP="003335F5">
      <w:pPr>
        <w:spacing w:after="0" w:line="360" w:lineRule="auto"/>
        <w:ind w:firstLine="708"/>
        <w:jc w:val="both"/>
        <w:rPr>
          <w:rFonts w:ascii="Times New Roman" w:hAnsi="Times New Roman"/>
          <w:sz w:val="24"/>
          <w:szCs w:val="24"/>
        </w:rPr>
      </w:pPr>
      <w:r w:rsidRPr="00964DA1">
        <w:rPr>
          <w:rFonts w:ascii="Times New Roman" w:hAnsi="Times New Roman"/>
          <w:sz w:val="24"/>
          <w:szCs w:val="24"/>
        </w:rPr>
        <w:t>Извършени са 3815 хидрогеоложки, геодезически и промерни измервания  на застрашени и засегнати територии от свлачища, срутища, морска абразия и други неблагоприятни геодинамични процеси.</w:t>
      </w:r>
    </w:p>
    <w:p w:rsidR="00787F38" w:rsidRPr="00964DA1" w:rsidRDefault="00787F38" w:rsidP="003335F5">
      <w:pPr>
        <w:spacing w:after="0" w:line="360" w:lineRule="auto"/>
        <w:ind w:firstLine="708"/>
        <w:jc w:val="both"/>
        <w:rPr>
          <w:rFonts w:ascii="Times New Roman" w:hAnsi="Times New Roman"/>
          <w:sz w:val="24"/>
          <w:szCs w:val="24"/>
        </w:rPr>
      </w:pPr>
      <w:r w:rsidRPr="00964DA1">
        <w:rPr>
          <w:rFonts w:ascii="Times New Roman" w:hAnsi="Times New Roman"/>
          <w:sz w:val="24"/>
          <w:szCs w:val="24"/>
        </w:rPr>
        <w:t>Извършен е и контрол на 217 постъпили в МРРБ инвестиционни намерения в свлачищни райони.</w:t>
      </w:r>
    </w:p>
    <w:p w:rsidR="00787F38" w:rsidRPr="00964DA1" w:rsidRDefault="00787F38" w:rsidP="003335F5">
      <w:pPr>
        <w:spacing w:after="0" w:line="360" w:lineRule="auto"/>
        <w:ind w:firstLine="708"/>
        <w:jc w:val="both"/>
        <w:rPr>
          <w:rFonts w:ascii="Times New Roman" w:hAnsi="Times New Roman"/>
          <w:sz w:val="24"/>
          <w:szCs w:val="24"/>
        </w:rPr>
      </w:pPr>
      <w:r w:rsidRPr="00964DA1">
        <w:rPr>
          <w:rFonts w:ascii="Times New Roman" w:hAnsi="Times New Roman"/>
          <w:sz w:val="24"/>
          <w:szCs w:val="24"/>
        </w:rPr>
        <w:t>Изпълнени са дейности по регистриране на свлачищните райони и нанасяне на данните в Регистъра на свлачищата в Република България за всички общини.</w:t>
      </w:r>
    </w:p>
    <w:p w:rsidR="00787F38" w:rsidRPr="00964DA1" w:rsidRDefault="00787F38" w:rsidP="003335F5">
      <w:pPr>
        <w:spacing w:after="0" w:line="360" w:lineRule="auto"/>
        <w:ind w:firstLine="708"/>
        <w:jc w:val="both"/>
        <w:rPr>
          <w:rFonts w:ascii="Times New Roman" w:hAnsi="Times New Roman"/>
          <w:sz w:val="24"/>
          <w:szCs w:val="24"/>
        </w:rPr>
      </w:pPr>
      <w:r w:rsidRPr="00964DA1">
        <w:rPr>
          <w:rFonts w:ascii="Times New Roman" w:hAnsi="Times New Roman"/>
          <w:sz w:val="24"/>
          <w:szCs w:val="24"/>
        </w:rPr>
        <w:t xml:space="preserve">Предприети са действия за подготовка на техническа документация и стартиране на СМР на 2 обекта в община Бургас – „Укрепване свлачище кв. „Сарафово – етап ІІІ.2“ и „Укрепване свлачище парк „Росенец“, които към момента се изпълняват. Предстои завършване на единия и въвеждането му в експлоатация. </w:t>
      </w:r>
    </w:p>
    <w:p w:rsidR="00787F38" w:rsidRPr="00964DA1" w:rsidRDefault="00787F38" w:rsidP="00892CB3">
      <w:pPr>
        <w:spacing w:after="0" w:line="360" w:lineRule="auto"/>
        <w:jc w:val="both"/>
        <w:rPr>
          <w:rFonts w:ascii="Times New Roman" w:hAnsi="Times New Roman"/>
          <w:sz w:val="24"/>
          <w:szCs w:val="24"/>
        </w:rPr>
      </w:pPr>
    </w:p>
    <w:p w:rsidR="00787F38" w:rsidRPr="00964DA1" w:rsidRDefault="00787F38" w:rsidP="00594715">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i/>
          <w:sz w:val="24"/>
          <w:szCs w:val="24"/>
        </w:rPr>
      </w:pPr>
      <w:r w:rsidRPr="00964DA1">
        <w:rPr>
          <w:rFonts w:ascii="Times New Roman" w:hAnsi="Times New Roman"/>
          <w:b/>
          <w:sz w:val="24"/>
          <w:szCs w:val="24"/>
        </w:rPr>
        <w:t>Строителен контрол</w:t>
      </w:r>
    </w:p>
    <w:p w:rsidR="00787F38" w:rsidRPr="00964DA1" w:rsidRDefault="00787F38" w:rsidP="001310F9">
      <w:pPr>
        <w:pStyle w:val="ListParagraph"/>
        <w:spacing w:after="0" w:line="360" w:lineRule="auto"/>
        <w:jc w:val="both"/>
        <w:rPr>
          <w:rFonts w:ascii="Times New Roman" w:hAnsi="Times New Roman"/>
          <w:sz w:val="24"/>
          <w:szCs w:val="24"/>
        </w:rPr>
      </w:pPr>
    </w:p>
    <w:p w:rsidR="00787F38" w:rsidRPr="00584ED6" w:rsidRDefault="00787F38" w:rsidP="001310F9">
      <w:pPr>
        <w:spacing w:before="120" w:after="120" w:line="360" w:lineRule="auto"/>
        <w:ind w:left="720"/>
        <w:jc w:val="both"/>
        <w:rPr>
          <w:rFonts w:ascii="Times New Roman" w:hAnsi="Times New Roman"/>
          <w:sz w:val="23"/>
          <w:szCs w:val="23"/>
        </w:rPr>
      </w:pPr>
      <w:r w:rsidRPr="00584ED6">
        <w:rPr>
          <w:rFonts w:ascii="Wingdings" w:hAnsi="Wingdings"/>
          <w:sz w:val="24"/>
          <w:szCs w:val="24"/>
        </w:rPr>
        <w:t></w:t>
      </w:r>
      <w:r w:rsidRPr="00584ED6">
        <w:rPr>
          <w:rFonts w:ascii="Times New Roman" w:hAnsi="Times New Roman"/>
          <w:sz w:val="14"/>
          <w:szCs w:val="14"/>
        </w:rPr>
        <w:t xml:space="preserve">  </w:t>
      </w:r>
      <w:r w:rsidRPr="00584ED6">
        <w:rPr>
          <w:rFonts w:ascii="Times New Roman" w:hAnsi="Times New Roman"/>
          <w:sz w:val="24"/>
          <w:szCs w:val="24"/>
        </w:rPr>
        <w:t>Въведени в експлоатация строежи от I, II и III категория – 8 211;</w:t>
      </w:r>
    </w:p>
    <w:p w:rsidR="00787F38" w:rsidRPr="00584ED6" w:rsidRDefault="00787F38" w:rsidP="001310F9">
      <w:pPr>
        <w:spacing w:before="120" w:after="120" w:line="360" w:lineRule="auto"/>
        <w:ind w:left="720"/>
        <w:jc w:val="both"/>
        <w:rPr>
          <w:rFonts w:ascii="Times New Roman" w:hAnsi="Times New Roman"/>
          <w:sz w:val="23"/>
          <w:szCs w:val="23"/>
        </w:rPr>
      </w:pPr>
      <w:r w:rsidRPr="00584ED6">
        <w:rPr>
          <w:rFonts w:ascii="Wingdings" w:hAnsi="Wingdings"/>
          <w:sz w:val="24"/>
          <w:szCs w:val="24"/>
        </w:rPr>
        <w:t></w:t>
      </w:r>
      <w:r w:rsidRPr="00584ED6">
        <w:rPr>
          <w:rFonts w:ascii="Times New Roman" w:hAnsi="Times New Roman"/>
          <w:sz w:val="14"/>
          <w:szCs w:val="14"/>
        </w:rPr>
        <w:t xml:space="preserve">  </w:t>
      </w:r>
      <w:r w:rsidRPr="00584ED6">
        <w:rPr>
          <w:rFonts w:ascii="Times New Roman" w:hAnsi="Times New Roman"/>
          <w:sz w:val="24"/>
          <w:szCs w:val="24"/>
        </w:rPr>
        <w:t>Извършени проверки на строежи и на строителни книжа – 77 859;</w:t>
      </w:r>
    </w:p>
    <w:p w:rsidR="00787F38" w:rsidRPr="00584ED6" w:rsidRDefault="00787F38" w:rsidP="001310F9">
      <w:pPr>
        <w:spacing w:before="120" w:after="120" w:line="360" w:lineRule="auto"/>
        <w:ind w:left="720"/>
        <w:jc w:val="both"/>
        <w:rPr>
          <w:rFonts w:ascii="Times New Roman" w:hAnsi="Times New Roman"/>
          <w:sz w:val="23"/>
          <w:szCs w:val="23"/>
        </w:rPr>
      </w:pPr>
      <w:r w:rsidRPr="00584ED6">
        <w:rPr>
          <w:rFonts w:ascii="Wingdings" w:hAnsi="Wingdings"/>
          <w:sz w:val="24"/>
          <w:szCs w:val="24"/>
        </w:rPr>
        <w:t></w:t>
      </w:r>
      <w:r w:rsidRPr="00584ED6">
        <w:rPr>
          <w:rFonts w:ascii="Times New Roman" w:hAnsi="Times New Roman"/>
          <w:sz w:val="14"/>
          <w:szCs w:val="14"/>
        </w:rPr>
        <w:t xml:space="preserve">  </w:t>
      </w:r>
      <w:r w:rsidRPr="00584ED6">
        <w:rPr>
          <w:rFonts w:ascii="Times New Roman" w:hAnsi="Times New Roman"/>
          <w:sz w:val="24"/>
          <w:szCs w:val="24"/>
        </w:rPr>
        <w:t>Издадени административни актове в резултат на осъществен контрол – 1 901;</w:t>
      </w:r>
    </w:p>
    <w:p w:rsidR="00787F38" w:rsidRPr="00584ED6" w:rsidRDefault="00787F38" w:rsidP="001310F9">
      <w:pPr>
        <w:spacing w:before="120" w:after="120" w:line="360" w:lineRule="auto"/>
        <w:ind w:left="720"/>
        <w:jc w:val="both"/>
        <w:rPr>
          <w:rFonts w:ascii="Times New Roman" w:hAnsi="Times New Roman"/>
          <w:sz w:val="23"/>
          <w:szCs w:val="23"/>
        </w:rPr>
      </w:pPr>
      <w:r w:rsidRPr="00584ED6">
        <w:rPr>
          <w:rFonts w:ascii="Wingdings" w:hAnsi="Wingdings"/>
          <w:sz w:val="24"/>
          <w:szCs w:val="24"/>
        </w:rPr>
        <w:t></w:t>
      </w:r>
      <w:r w:rsidRPr="00584ED6">
        <w:rPr>
          <w:rFonts w:ascii="Times New Roman" w:hAnsi="Times New Roman"/>
          <w:sz w:val="14"/>
          <w:szCs w:val="14"/>
        </w:rPr>
        <w:t xml:space="preserve">  </w:t>
      </w:r>
      <w:r w:rsidRPr="00584ED6">
        <w:rPr>
          <w:rFonts w:ascii="Times New Roman" w:hAnsi="Times New Roman"/>
          <w:sz w:val="24"/>
          <w:szCs w:val="24"/>
        </w:rPr>
        <w:t>Съставени актове за установяване на административни нарушения – 1 328;</w:t>
      </w:r>
    </w:p>
    <w:p w:rsidR="00787F38" w:rsidRPr="00584ED6" w:rsidRDefault="00787F38" w:rsidP="001310F9">
      <w:pPr>
        <w:spacing w:before="120" w:after="120" w:line="360" w:lineRule="auto"/>
        <w:ind w:left="720"/>
        <w:jc w:val="both"/>
        <w:rPr>
          <w:rFonts w:ascii="Times New Roman" w:hAnsi="Times New Roman"/>
          <w:sz w:val="23"/>
          <w:szCs w:val="23"/>
        </w:rPr>
      </w:pPr>
      <w:r w:rsidRPr="00584ED6">
        <w:rPr>
          <w:rFonts w:ascii="Wingdings" w:hAnsi="Wingdings"/>
          <w:sz w:val="24"/>
          <w:szCs w:val="24"/>
        </w:rPr>
        <w:t></w:t>
      </w:r>
      <w:r w:rsidRPr="00584ED6">
        <w:rPr>
          <w:rFonts w:ascii="Times New Roman" w:hAnsi="Times New Roman"/>
          <w:sz w:val="14"/>
          <w:szCs w:val="14"/>
        </w:rPr>
        <w:t xml:space="preserve">  </w:t>
      </w:r>
      <w:r w:rsidRPr="00584ED6">
        <w:rPr>
          <w:rFonts w:ascii="Times New Roman" w:hAnsi="Times New Roman"/>
          <w:sz w:val="24"/>
          <w:szCs w:val="24"/>
        </w:rPr>
        <w:t>Проведени адмнистративнонаказателни производства – 1 214;</w:t>
      </w:r>
    </w:p>
    <w:p w:rsidR="00787F38" w:rsidRPr="00584ED6" w:rsidRDefault="00787F38" w:rsidP="001310F9">
      <w:pPr>
        <w:spacing w:before="120" w:after="120" w:line="360" w:lineRule="auto"/>
        <w:ind w:left="720"/>
        <w:jc w:val="both"/>
        <w:rPr>
          <w:rFonts w:ascii="Times New Roman" w:hAnsi="Times New Roman"/>
          <w:sz w:val="23"/>
          <w:szCs w:val="23"/>
        </w:rPr>
      </w:pPr>
      <w:r w:rsidRPr="00584ED6">
        <w:rPr>
          <w:rFonts w:ascii="Wingdings" w:hAnsi="Wingdings"/>
          <w:sz w:val="24"/>
          <w:szCs w:val="24"/>
        </w:rPr>
        <w:lastRenderedPageBreak/>
        <w:t></w:t>
      </w:r>
      <w:r w:rsidRPr="00584ED6">
        <w:rPr>
          <w:rFonts w:ascii="Times New Roman" w:hAnsi="Times New Roman"/>
          <w:sz w:val="14"/>
          <w:szCs w:val="14"/>
        </w:rPr>
        <w:t xml:space="preserve">  </w:t>
      </w:r>
      <w:r w:rsidRPr="00584ED6">
        <w:rPr>
          <w:rFonts w:ascii="Times New Roman" w:hAnsi="Times New Roman"/>
          <w:sz w:val="24"/>
          <w:szCs w:val="24"/>
        </w:rPr>
        <w:t>Премахване на незаконни строежи – 1 638;</w:t>
      </w:r>
    </w:p>
    <w:p w:rsidR="00787F38" w:rsidRPr="00584ED6" w:rsidRDefault="00787F38" w:rsidP="001310F9">
      <w:pPr>
        <w:spacing w:before="120" w:after="120" w:line="360" w:lineRule="auto"/>
        <w:ind w:left="720"/>
        <w:jc w:val="both"/>
        <w:rPr>
          <w:rFonts w:ascii="Times New Roman" w:hAnsi="Times New Roman"/>
          <w:sz w:val="23"/>
          <w:szCs w:val="23"/>
        </w:rPr>
      </w:pPr>
      <w:r w:rsidRPr="00584ED6">
        <w:rPr>
          <w:rFonts w:ascii="Wingdings" w:hAnsi="Wingdings"/>
          <w:sz w:val="24"/>
          <w:szCs w:val="24"/>
        </w:rPr>
        <w:t></w:t>
      </w:r>
      <w:r w:rsidRPr="00584ED6">
        <w:rPr>
          <w:rFonts w:ascii="Times New Roman" w:hAnsi="Times New Roman"/>
          <w:sz w:val="14"/>
          <w:szCs w:val="14"/>
        </w:rPr>
        <w:t xml:space="preserve">  </w:t>
      </w:r>
      <w:r w:rsidRPr="00584ED6">
        <w:rPr>
          <w:rFonts w:ascii="Times New Roman" w:hAnsi="Times New Roman"/>
          <w:sz w:val="24"/>
          <w:szCs w:val="24"/>
        </w:rPr>
        <w:t xml:space="preserve">Проведени процедури по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и отразяване на промени на обстоятелствата по издадено удостоверение – 1 126. </w:t>
      </w:r>
    </w:p>
    <w:p w:rsidR="00787F38" w:rsidRPr="00964DA1" w:rsidRDefault="00787F38" w:rsidP="00002BD6">
      <w:pPr>
        <w:spacing w:after="0" w:line="360" w:lineRule="auto"/>
        <w:ind w:left="360"/>
        <w:jc w:val="both"/>
        <w:rPr>
          <w:rFonts w:ascii="Times New Roman" w:hAnsi="Times New Roman"/>
          <w:sz w:val="24"/>
          <w:szCs w:val="24"/>
        </w:rPr>
      </w:pPr>
    </w:p>
    <w:p w:rsidR="00787F38" w:rsidRPr="00964DA1" w:rsidRDefault="00787F38" w:rsidP="00594715">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sz w:val="24"/>
          <w:szCs w:val="24"/>
        </w:rPr>
      </w:pPr>
      <w:r w:rsidRPr="00964DA1">
        <w:rPr>
          <w:rFonts w:ascii="Times New Roman" w:hAnsi="Times New Roman"/>
          <w:b/>
          <w:sz w:val="24"/>
          <w:szCs w:val="24"/>
        </w:rPr>
        <w:t>Разработване на технически нормативни актове и хармонизация с европейското техническо законодателство</w:t>
      </w:r>
    </w:p>
    <w:p w:rsidR="00787F38" w:rsidRPr="00964DA1" w:rsidRDefault="00787F38" w:rsidP="00594715">
      <w:pPr>
        <w:pStyle w:val="ListParagraph"/>
        <w:spacing w:after="0" w:line="360" w:lineRule="auto"/>
        <w:jc w:val="both"/>
        <w:rPr>
          <w:rFonts w:ascii="Times New Roman" w:hAnsi="Times New Roman"/>
          <w:sz w:val="24"/>
          <w:szCs w:val="24"/>
        </w:rPr>
      </w:pPr>
    </w:p>
    <w:p w:rsidR="00787F38" w:rsidRPr="00964DA1" w:rsidRDefault="00787F38" w:rsidP="003335F5">
      <w:pPr>
        <w:spacing w:after="0" w:line="360" w:lineRule="auto"/>
        <w:ind w:firstLine="708"/>
        <w:jc w:val="both"/>
        <w:rPr>
          <w:rFonts w:ascii="Times New Roman" w:hAnsi="Times New Roman"/>
          <w:sz w:val="24"/>
          <w:szCs w:val="24"/>
        </w:rPr>
      </w:pPr>
      <w:r w:rsidRPr="00964DA1">
        <w:rPr>
          <w:rFonts w:ascii="Times New Roman" w:hAnsi="Times New Roman"/>
          <w:sz w:val="24"/>
          <w:szCs w:val="24"/>
        </w:rPr>
        <w:t>През отчетния период са разработени и приети 4 наредби в областта на строителните продукти, енергийната ефективност на сгради и транспортната техническа инфраструктура. Обнародвани са и 5 наредби в областта на: сградите за обществено обслужване за образование и наука, за здравеопазване и в областта на културата и изкуствата; проектирането, изграждането и експлоатацията на водоснабдителни системи, на хидроизолации и хидроизолационни системи на сгради и съоръжения; за планиране и проектиране на комуникационно-транспортните системи на урбанизираните територии, както и Концепция за промени в националното законодателство, свързани с прилагането на чл. 9 „Достъпност” от Конвенцията на ООН за правата на хората с увреждания по отношение на достъпност на архитектурната среда. Съвместно с други  компетентни министерства са разработени и обнародвани наредби в областта на пожарната безопасност на строежи, енергийната ефективност, обследване, сертифициране и енергийни спестявания, както и в областта на пожарната безопасност на строежите, на обектите и съоръженията за производство, пренос и разпределение на топлинна енергия, за сигнализация на пътищата с пътна маркировка и за ограничаване на вредния шум чрез шумоизолиране на сградите при тяхното проектиране и за правилата и нормите при изпълнението на строежите по отношение на шума, излъчван по време на строителството.</w:t>
      </w:r>
    </w:p>
    <w:p w:rsidR="00787F38" w:rsidRPr="00964DA1" w:rsidRDefault="00787F38" w:rsidP="003335F5">
      <w:pPr>
        <w:spacing w:after="0" w:line="360" w:lineRule="auto"/>
        <w:ind w:firstLine="708"/>
        <w:jc w:val="both"/>
        <w:rPr>
          <w:rFonts w:ascii="Times New Roman" w:hAnsi="Times New Roman"/>
          <w:sz w:val="24"/>
          <w:szCs w:val="24"/>
        </w:rPr>
      </w:pPr>
      <w:r w:rsidRPr="00964DA1">
        <w:rPr>
          <w:rFonts w:ascii="Times New Roman" w:hAnsi="Times New Roman"/>
          <w:sz w:val="24"/>
          <w:szCs w:val="24"/>
        </w:rPr>
        <w:t xml:space="preserve">В процес на разработване са актове в областта на проектирането, изграждането и поддържането на електрически уредби за ниско напрежение в сгради, на планирането и проектирането на строежи, предназначени за производство, съхранение и търговия на оръжия, боеприпаси, взривни вещества и пиротехнически изделия, на физическата сигурност на строежите, на сигнализацията на пътищата с пътни знаци, на регулиране </w:t>
      </w:r>
      <w:r w:rsidRPr="00964DA1">
        <w:rPr>
          <w:rFonts w:ascii="Times New Roman" w:hAnsi="Times New Roman"/>
          <w:sz w:val="24"/>
          <w:szCs w:val="24"/>
        </w:rPr>
        <w:lastRenderedPageBreak/>
        <w:t xml:space="preserve">на движението по пътищата със светлинни сигнали и на техническите изисквания към сградите за защита от радон, както и методика за анализ и оценка на сеизмичния риск. </w:t>
      </w:r>
    </w:p>
    <w:p w:rsidR="00787F38" w:rsidRPr="00964DA1" w:rsidRDefault="00787F38" w:rsidP="003335F5">
      <w:pPr>
        <w:spacing w:after="0" w:line="360" w:lineRule="auto"/>
        <w:ind w:firstLine="708"/>
        <w:jc w:val="both"/>
        <w:rPr>
          <w:rFonts w:ascii="Times New Roman" w:hAnsi="Times New Roman"/>
          <w:sz w:val="24"/>
          <w:szCs w:val="24"/>
        </w:rPr>
      </w:pPr>
      <w:r w:rsidRPr="00964DA1">
        <w:rPr>
          <w:rFonts w:ascii="Times New Roman" w:hAnsi="Times New Roman"/>
          <w:sz w:val="24"/>
          <w:szCs w:val="24"/>
        </w:rPr>
        <w:t>Изработени са 20 национални приложения и национални изисквания към стандарти, за които са проведени национални допитвания.</w:t>
      </w:r>
    </w:p>
    <w:p w:rsidR="00787F38" w:rsidRPr="00964DA1" w:rsidRDefault="00787F38" w:rsidP="00506DF2">
      <w:pPr>
        <w:pStyle w:val="ListParagraph"/>
        <w:spacing w:after="0" w:line="360" w:lineRule="auto"/>
        <w:jc w:val="both"/>
        <w:rPr>
          <w:rFonts w:ascii="Times New Roman" w:hAnsi="Times New Roman"/>
          <w:sz w:val="24"/>
          <w:szCs w:val="24"/>
        </w:rPr>
      </w:pPr>
    </w:p>
    <w:p w:rsidR="00787F38" w:rsidRPr="00964DA1" w:rsidRDefault="00787F38" w:rsidP="00594715">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sz w:val="24"/>
          <w:szCs w:val="24"/>
        </w:rPr>
      </w:pPr>
      <w:r w:rsidRPr="00964DA1">
        <w:rPr>
          <w:rFonts w:ascii="Times New Roman" w:hAnsi="Times New Roman"/>
          <w:b/>
          <w:sz w:val="24"/>
          <w:szCs w:val="24"/>
        </w:rPr>
        <w:t>Гражданска регистрация и административно обслужване</w:t>
      </w:r>
    </w:p>
    <w:p w:rsidR="00787F38" w:rsidRPr="00964DA1" w:rsidRDefault="00787F38" w:rsidP="00594715">
      <w:pPr>
        <w:pStyle w:val="ListParagraph"/>
        <w:spacing w:after="0" w:line="360" w:lineRule="auto"/>
        <w:jc w:val="both"/>
        <w:rPr>
          <w:rFonts w:ascii="Times New Roman" w:hAnsi="Times New Roman"/>
          <w:sz w:val="24"/>
          <w:szCs w:val="24"/>
        </w:rPr>
      </w:pPr>
    </w:p>
    <w:p w:rsidR="00787F38" w:rsidRPr="00964DA1" w:rsidRDefault="00787F38" w:rsidP="009126E4">
      <w:pPr>
        <w:spacing w:after="0" w:line="360" w:lineRule="auto"/>
        <w:ind w:firstLine="708"/>
        <w:jc w:val="both"/>
        <w:rPr>
          <w:rFonts w:ascii="Times New Roman" w:hAnsi="Times New Roman"/>
          <w:sz w:val="24"/>
          <w:szCs w:val="24"/>
        </w:rPr>
      </w:pPr>
      <w:r w:rsidRPr="00964DA1">
        <w:rPr>
          <w:rFonts w:ascii="Times New Roman" w:hAnsi="Times New Roman"/>
          <w:sz w:val="24"/>
          <w:szCs w:val="24"/>
        </w:rPr>
        <w:t>От м.</w:t>
      </w:r>
      <w:r>
        <w:rPr>
          <w:rFonts w:ascii="Times New Roman" w:hAnsi="Times New Roman"/>
          <w:sz w:val="24"/>
          <w:szCs w:val="24"/>
        </w:rPr>
        <w:t xml:space="preserve"> </w:t>
      </w:r>
      <w:r w:rsidRPr="00964DA1">
        <w:rPr>
          <w:rFonts w:ascii="Times New Roman" w:hAnsi="Times New Roman"/>
          <w:sz w:val="24"/>
          <w:szCs w:val="24"/>
        </w:rPr>
        <w:t>ноември 2014 г. до момента са извършени проверки на подписка в подкрепа произвеждането на 2 национални референдума, 3 национални граждански инициативи, 12 местни референдума и 52 местни граждански инициативи.</w:t>
      </w:r>
    </w:p>
    <w:p w:rsidR="00787F38" w:rsidRPr="00964DA1" w:rsidRDefault="00787F38" w:rsidP="009126E4">
      <w:pPr>
        <w:spacing w:after="0" w:line="360" w:lineRule="auto"/>
        <w:ind w:firstLine="708"/>
        <w:jc w:val="both"/>
        <w:rPr>
          <w:rFonts w:ascii="Times New Roman" w:hAnsi="Times New Roman"/>
          <w:sz w:val="24"/>
          <w:szCs w:val="24"/>
        </w:rPr>
      </w:pPr>
      <w:r w:rsidRPr="00964DA1">
        <w:rPr>
          <w:rFonts w:ascii="Times New Roman" w:hAnsi="Times New Roman"/>
          <w:sz w:val="24"/>
          <w:szCs w:val="24"/>
        </w:rPr>
        <w:t>Във връзка с проведените на 25.10.2015 г. избори за общински съветници и кметови и национален референдум са отпечатани избирателните списъци за обявяване и гласуване. Проверени са 81 списъка (на 78 партии и 3 коалиции) на избиратели, подкрепящи регистрацията на партии и коалиции в ЦИК за участие в изборите за общински съветници и за кметове. Проверени са и 15 списъка с гласоподаватели, подкрепящи регистрацията на инициативни комитети за участие в информационно-разяснителната кампания в подкрепа на въпроса на националния референдум или на алтернативна позиция. Резултатите от проверките са отразени в протоколи, които са предоставени на ЦИК.</w:t>
      </w:r>
    </w:p>
    <w:p w:rsidR="00787F38" w:rsidRPr="00964DA1" w:rsidRDefault="00787F38" w:rsidP="009126E4">
      <w:pPr>
        <w:spacing w:after="0" w:line="360" w:lineRule="auto"/>
        <w:ind w:firstLine="708"/>
        <w:jc w:val="both"/>
        <w:rPr>
          <w:rFonts w:ascii="Times New Roman" w:hAnsi="Times New Roman"/>
          <w:sz w:val="24"/>
          <w:szCs w:val="24"/>
        </w:rPr>
      </w:pPr>
      <w:r w:rsidRPr="00964DA1">
        <w:rPr>
          <w:rFonts w:ascii="Times New Roman" w:hAnsi="Times New Roman"/>
          <w:sz w:val="24"/>
          <w:szCs w:val="24"/>
        </w:rPr>
        <w:t>Отпечатани са избирателните списъци за обявяване и гласуване във връзка с изборите за президент и вицепрезидент на Републиката и националния референдум на 06.11.2016 г. Проверени са 29 списъка на избиратели, подкрепящи регистрацията на 12 партии, 5 коалиции и 12 инициативни комитета в ЦИК за участие в изборите за президент и вицепрезидент на републиката. Проверени са и 26 списъка с гласоподаватели, подкрепящи регистрацията на партии, коалиции и инициативни комитети за участие в информационно-разяснителната кампания в подкрепа на въпроса на националния референдум или на алтернативна позиция. Резултатите от проверките са отразени в протоколи, които са предоставени на ЦИК.</w:t>
      </w:r>
    </w:p>
    <w:p w:rsidR="00787F38" w:rsidRDefault="00787F38" w:rsidP="00DE425D">
      <w:pPr>
        <w:spacing w:after="0" w:line="360" w:lineRule="auto"/>
        <w:jc w:val="both"/>
        <w:rPr>
          <w:rFonts w:ascii="Times New Roman" w:hAnsi="Times New Roman"/>
          <w:b/>
          <w:sz w:val="24"/>
          <w:szCs w:val="24"/>
        </w:rPr>
      </w:pPr>
    </w:p>
    <w:p w:rsidR="00BC1CA0" w:rsidRDefault="00BC1CA0" w:rsidP="00DE425D">
      <w:pPr>
        <w:spacing w:after="0" w:line="360" w:lineRule="auto"/>
        <w:jc w:val="both"/>
        <w:rPr>
          <w:rFonts w:ascii="Times New Roman" w:hAnsi="Times New Roman"/>
          <w:b/>
          <w:sz w:val="24"/>
          <w:szCs w:val="24"/>
        </w:rPr>
      </w:pPr>
    </w:p>
    <w:p w:rsidR="00BC1CA0" w:rsidRDefault="00BC1CA0" w:rsidP="00DE425D">
      <w:pPr>
        <w:spacing w:after="0" w:line="360" w:lineRule="auto"/>
        <w:jc w:val="both"/>
        <w:rPr>
          <w:rFonts w:ascii="Times New Roman" w:hAnsi="Times New Roman"/>
          <w:b/>
          <w:sz w:val="24"/>
          <w:szCs w:val="24"/>
        </w:rPr>
      </w:pPr>
    </w:p>
    <w:p w:rsidR="00BC1CA0" w:rsidRDefault="00BC1CA0" w:rsidP="00DE425D">
      <w:pPr>
        <w:spacing w:after="0" w:line="360" w:lineRule="auto"/>
        <w:jc w:val="both"/>
        <w:rPr>
          <w:rFonts w:ascii="Times New Roman" w:hAnsi="Times New Roman"/>
          <w:b/>
          <w:sz w:val="24"/>
          <w:szCs w:val="24"/>
        </w:rPr>
      </w:pPr>
    </w:p>
    <w:p w:rsidR="00BC1CA0" w:rsidRPr="00964DA1" w:rsidRDefault="00BC1CA0" w:rsidP="00DE425D">
      <w:pPr>
        <w:spacing w:after="0" w:line="360" w:lineRule="auto"/>
        <w:jc w:val="both"/>
        <w:rPr>
          <w:rFonts w:ascii="Times New Roman" w:hAnsi="Times New Roman"/>
          <w:b/>
          <w:sz w:val="24"/>
          <w:szCs w:val="24"/>
        </w:rPr>
      </w:pPr>
    </w:p>
    <w:p w:rsidR="00787F38" w:rsidRPr="00964DA1" w:rsidRDefault="00787F38" w:rsidP="00594715">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sz w:val="24"/>
          <w:szCs w:val="24"/>
        </w:rPr>
      </w:pPr>
      <w:r w:rsidRPr="00964DA1">
        <w:rPr>
          <w:rFonts w:ascii="Times New Roman" w:hAnsi="Times New Roman"/>
          <w:b/>
          <w:sz w:val="24"/>
          <w:szCs w:val="24"/>
        </w:rPr>
        <w:lastRenderedPageBreak/>
        <w:t>Държавна собственост</w:t>
      </w:r>
    </w:p>
    <w:p w:rsidR="00787F38" w:rsidRPr="00964DA1" w:rsidRDefault="00787F38" w:rsidP="00594715">
      <w:pPr>
        <w:pStyle w:val="ListParagraph"/>
        <w:spacing w:after="0" w:line="360" w:lineRule="auto"/>
        <w:jc w:val="both"/>
        <w:rPr>
          <w:rFonts w:ascii="Times New Roman" w:hAnsi="Times New Roman"/>
          <w:sz w:val="24"/>
          <w:szCs w:val="24"/>
        </w:rPr>
      </w:pPr>
    </w:p>
    <w:p w:rsidR="00827049" w:rsidRPr="00827049" w:rsidRDefault="00827049" w:rsidP="00827049">
      <w:pPr>
        <w:spacing w:after="0" w:line="360" w:lineRule="auto"/>
        <w:ind w:firstLine="708"/>
        <w:jc w:val="both"/>
        <w:rPr>
          <w:rFonts w:ascii="Times New Roman" w:hAnsi="Times New Roman"/>
          <w:sz w:val="24"/>
          <w:szCs w:val="24"/>
        </w:rPr>
      </w:pPr>
      <w:r>
        <w:rPr>
          <w:rFonts w:ascii="Times New Roman" w:hAnsi="Times New Roman"/>
          <w:sz w:val="24"/>
          <w:szCs w:val="24"/>
        </w:rPr>
        <w:t xml:space="preserve">През двегодишния период са проведени процедури и са приети </w:t>
      </w:r>
      <w:r w:rsidRPr="00827049">
        <w:rPr>
          <w:rFonts w:ascii="Times New Roman" w:hAnsi="Times New Roman"/>
          <w:sz w:val="24"/>
          <w:szCs w:val="24"/>
        </w:rPr>
        <w:t>411 решения на Министерския съвет за промяна в характера на собствеността на имоти - държавна собственост; за безвъзмездно предоставяне на имоти – публична държавна собственост за управление на ведомства и общини; за безвъзмездно прехвърляне правото на собственост върху имоти – частна държавна собственост, на общини; за учредяване на ограничени вещни права върху имоти – държавна собственост, в т.ч. решения на Министерския съвет за изменение и допълнение на такива актове, както и решения на Министерския съвет, чийто съвносител е министърът на регионалното развитие и благоустройството.</w:t>
      </w:r>
    </w:p>
    <w:p w:rsidR="00827049" w:rsidRPr="00827049" w:rsidRDefault="00827049" w:rsidP="00827049">
      <w:pPr>
        <w:spacing w:after="0" w:line="360" w:lineRule="auto"/>
        <w:ind w:firstLine="708"/>
        <w:jc w:val="both"/>
        <w:rPr>
          <w:rFonts w:ascii="Times New Roman" w:hAnsi="Times New Roman"/>
          <w:sz w:val="24"/>
          <w:szCs w:val="24"/>
        </w:rPr>
      </w:pPr>
      <w:r w:rsidRPr="00827049">
        <w:rPr>
          <w:rFonts w:ascii="Times New Roman" w:hAnsi="Times New Roman"/>
          <w:sz w:val="24"/>
          <w:szCs w:val="24"/>
        </w:rPr>
        <w:t>Приети са 4</w:t>
      </w:r>
      <w:r w:rsidRPr="00827049">
        <w:rPr>
          <w:rFonts w:ascii="Times New Roman" w:hAnsi="Times New Roman"/>
          <w:sz w:val="24"/>
          <w:szCs w:val="24"/>
          <w:lang w:val="ru-RU"/>
        </w:rPr>
        <w:t>3</w:t>
      </w:r>
      <w:r w:rsidRPr="00827049">
        <w:rPr>
          <w:rFonts w:ascii="Times New Roman" w:hAnsi="Times New Roman"/>
          <w:color w:val="FF0000"/>
          <w:sz w:val="24"/>
          <w:szCs w:val="24"/>
        </w:rPr>
        <w:t xml:space="preserve"> </w:t>
      </w:r>
      <w:r w:rsidRPr="00827049">
        <w:rPr>
          <w:rFonts w:ascii="Times New Roman" w:hAnsi="Times New Roman"/>
          <w:sz w:val="24"/>
          <w:szCs w:val="24"/>
        </w:rPr>
        <w:t>решения на Министерския съвет за отчуждаване на имоти и части от имоти - частна собственост, за държавни нужди, за изграждане на национални обекти.</w:t>
      </w:r>
    </w:p>
    <w:p w:rsidR="00827049" w:rsidRPr="00827049" w:rsidRDefault="00827049" w:rsidP="00827049">
      <w:pPr>
        <w:spacing w:after="0" w:line="360" w:lineRule="auto"/>
        <w:ind w:firstLine="708"/>
        <w:jc w:val="both"/>
        <w:rPr>
          <w:rFonts w:ascii="Times New Roman" w:hAnsi="Times New Roman"/>
          <w:sz w:val="24"/>
          <w:szCs w:val="24"/>
        </w:rPr>
      </w:pPr>
      <w:r w:rsidRPr="00827049">
        <w:rPr>
          <w:rFonts w:ascii="Times New Roman" w:hAnsi="Times New Roman"/>
          <w:sz w:val="24"/>
          <w:szCs w:val="24"/>
        </w:rPr>
        <w:t>Издадени са 15 съвместни актове (заповеди) на министъра на регионалното развитие и благоустройството и министъра на финансите за отчуждаване на имоти и части от имоти - частна собственост, за държавни нужди, за изграждане на различни обекти.</w:t>
      </w:r>
    </w:p>
    <w:p w:rsidR="00787F38" w:rsidRPr="00964DA1" w:rsidRDefault="00827049" w:rsidP="00827049">
      <w:pPr>
        <w:spacing w:after="0" w:line="360" w:lineRule="auto"/>
        <w:ind w:firstLine="708"/>
        <w:jc w:val="both"/>
        <w:rPr>
          <w:rFonts w:ascii="Times New Roman" w:hAnsi="Times New Roman"/>
          <w:sz w:val="24"/>
          <w:szCs w:val="24"/>
        </w:rPr>
      </w:pPr>
      <w:r w:rsidRPr="00827049">
        <w:rPr>
          <w:rFonts w:ascii="Times New Roman" w:hAnsi="Times New Roman"/>
          <w:sz w:val="24"/>
          <w:szCs w:val="24"/>
        </w:rPr>
        <w:t>Съставени са 123 акта за изключителна д</w:t>
      </w:r>
      <w:r>
        <w:rPr>
          <w:rFonts w:ascii="Times New Roman" w:hAnsi="Times New Roman"/>
          <w:sz w:val="24"/>
          <w:szCs w:val="24"/>
        </w:rPr>
        <w:t>ържавна собственост (АИДС) и актове за поправка на АИДС</w:t>
      </w:r>
      <w:r>
        <w:t xml:space="preserve"> </w:t>
      </w:r>
      <w:r>
        <w:rPr>
          <w:rFonts w:ascii="Times New Roman" w:hAnsi="Times New Roman"/>
          <w:sz w:val="24"/>
          <w:szCs w:val="24"/>
        </w:rPr>
        <w:t>за обекти/имоти - изключителна държавна собственост.</w:t>
      </w:r>
    </w:p>
    <w:p w:rsidR="00787F38" w:rsidRDefault="00787F38" w:rsidP="0090056F">
      <w:pPr>
        <w:spacing w:after="0" w:line="360" w:lineRule="auto"/>
        <w:jc w:val="both"/>
        <w:rPr>
          <w:rFonts w:ascii="Times New Roman" w:hAnsi="Times New Roman"/>
          <w:sz w:val="24"/>
          <w:szCs w:val="24"/>
        </w:rPr>
      </w:pPr>
    </w:p>
    <w:p w:rsidR="00787F38" w:rsidRPr="00964DA1" w:rsidRDefault="00787F38" w:rsidP="00594715">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sz w:val="24"/>
          <w:szCs w:val="24"/>
        </w:rPr>
      </w:pPr>
      <w:r w:rsidRPr="00964DA1">
        <w:rPr>
          <w:rFonts w:ascii="Times New Roman" w:hAnsi="Times New Roman"/>
          <w:b/>
          <w:sz w:val="24"/>
          <w:szCs w:val="24"/>
        </w:rPr>
        <w:t>Търговски дружества</w:t>
      </w:r>
    </w:p>
    <w:p w:rsidR="00787F38" w:rsidRPr="00964DA1" w:rsidRDefault="00787F38" w:rsidP="00594715">
      <w:pPr>
        <w:pStyle w:val="ListParagraph"/>
        <w:spacing w:after="0" w:line="360" w:lineRule="auto"/>
        <w:jc w:val="both"/>
        <w:rPr>
          <w:rFonts w:ascii="Times New Roman" w:hAnsi="Times New Roman"/>
          <w:sz w:val="24"/>
          <w:szCs w:val="24"/>
        </w:rPr>
      </w:pPr>
    </w:p>
    <w:p w:rsidR="00787F38" w:rsidRPr="00964DA1" w:rsidRDefault="00787F38" w:rsidP="009126E4">
      <w:pPr>
        <w:spacing w:after="0" w:line="360" w:lineRule="auto"/>
        <w:ind w:firstLine="708"/>
        <w:jc w:val="both"/>
        <w:rPr>
          <w:rFonts w:ascii="Times New Roman" w:hAnsi="Times New Roman"/>
          <w:sz w:val="24"/>
          <w:szCs w:val="24"/>
        </w:rPr>
      </w:pPr>
      <w:r w:rsidRPr="00964DA1">
        <w:rPr>
          <w:rFonts w:ascii="Times New Roman" w:hAnsi="Times New Roman"/>
          <w:sz w:val="24"/>
          <w:szCs w:val="24"/>
        </w:rPr>
        <w:t>През отчетния период са осигурени условия за ефективно функциониране на 41 броя търговски дружества с над 50 % държавно участие, осъществяващи стопанска дейност, от които 29 броя дружества от сектор „ВиК“.</w:t>
      </w:r>
    </w:p>
    <w:p w:rsidR="00787F38" w:rsidRPr="00940CEB" w:rsidRDefault="00787F38" w:rsidP="009126E4">
      <w:pPr>
        <w:spacing w:after="0" w:line="360" w:lineRule="auto"/>
        <w:ind w:firstLine="708"/>
        <w:jc w:val="both"/>
        <w:rPr>
          <w:rFonts w:ascii="Times New Roman" w:hAnsi="Times New Roman"/>
          <w:sz w:val="24"/>
          <w:szCs w:val="24"/>
        </w:rPr>
      </w:pPr>
      <w:r w:rsidRPr="00964DA1">
        <w:rPr>
          <w:rFonts w:ascii="Times New Roman" w:hAnsi="Times New Roman"/>
          <w:sz w:val="24"/>
          <w:szCs w:val="24"/>
        </w:rPr>
        <w:t>Във връзка с незадоволителното функциониране на „ВиК“ ЕООД – гр. Добрич са изпълнени действия за неговото оздравяване. През 2016 г. дружеството е преобразувано в акционерно и задълженията му са намалени с 16 млн.</w:t>
      </w:r>
      <w:r>
        <w:rPr>
          <w:rFonts w:ascii="Times New Roman" w:hAnsi="Times New Roman"/>
          <w:sz w:val="24"/>
          <w:szCs w:val="24"/>
        </w:rPr>
        <w:t xml:space="preserve"> </w:t>
      </w:r>
      <w:r w:rsidRPr="00964DA1">
        <w:rPr>
          <w:rFonts w:ascii="Times New Roman" w:hAnsi="Times New Roman"/>
          <w:sz w:val="24"/>
          <w:szCs w:val="24"/>
        </w:rPr>
        <w:t>лв.</w:t>
      </w:r>
      <w:r>
        <w:rPr>
          <w:rFonts w:ascii="Times New Roman" w:hAnsi="Times New Roman"/>
          <w:sz w:val="24"/>
          <w:szCs w:val="24"/>
        </w:rPr>
        <w:t xml:space="preserve"> </w:t>
      </w:r>
      <w:r w:rsidRPr="00964DA1">
        <w:rPr>
          <w:rFonts w:ascii="Times New Roman" w:hAnsi="Times New Roman"/>
          <w:sz w:val="24"/>
          <w:szCs w:val="24"/>
        </w:rPr>
        <w:t xml:space="preserve">В момента се </w:t>
      </w:r>
      <w:r w:rsidRPr="00940CEB">
        <w:rPr>
          <w:rFonts w:ascii="Times New Roman" w:hAnsi="Times New Roman"/>
          <w:sz w:val="24"/>
          <w:szCs w:val="24"/>
        </w:rPr>
        <w:t xml:space="preserve">изпълнява план за оздравяване на дружеството. </w:t>
      </w:r>
    </w:p>
    <w:p w:rsidR="00787F38" w:rsidRPr="00964DA1" w:rsidRDefault="00787F38" w:rsidP="005D150F">
      <w:pPr>
        <w:spacing w:after="0" w:line="360" w:lineRule="auto"/>
        <w:ind w:firstLine="708"/>
        <w:jc w:val="both"/>
        <w:rPr>
          <w:rFonts w:ascii="Times New Roman" w:hAnsi="Times New Roman"/>
          <w:sz w:val="24"/>
          <w:szCs w:val="24"/>
        </w:rPr>
      </w:pPr>
      <w:r w:rsidRPr="00940CEB">
        <w:rPr>
          <w:rFonts w:ascii="Times New Roman" w:hAnsi="Times New Roman"/>
          <w:sz w:val="24"/>
          <w:szCs w:val="24"/>
        </w:rPr>
        <w:t xml:space="preserve">Други дружества с държавно участие също съществено повишават ефективността си през отчетения период: „ВиК“ ЕООД, гр. Пловдив, отчита към 31.12.2014 г загуба в размер на 956 000 лв., а към 31.12.2015 г. дружеството достига до </w:t>
      </w:r>
      <w:r w:rsidRPr="00940CEB">
        <w:rPr>
          <w:rFonts w:ascii="Times New Roman" w:hAnsi="Times New Roman"/>
          <w:sz w:val="24"/>
          <w:szCs w:val="24"/>
        </w:rPr>
        <w:lastRenderedPageBreak/>
        <w:t>балансова печалба от 1 090 лв.; през 2014 г. “ВиК” ООД – гр. Кърджали, отчита балансова загуба в размер на 418 хил. лв., а през 2015 г. балансовата му печалба вече е в размер на 368 хил. лв.; „Автомагистрали“ ЕАД, гр. София, отчита през 2014 г. балансова загуба в размер на 680 хил.лв., като балансовата му печалба през 2015 г. е в размер на 2 046 хил.лв.</w:t>
      </w:r>
    </w:p>
    <w:p w:rsidR="00787F38" w:rsidRPr="00964DA1" w:rsidRDefault="00787F38" w:rsidP="009126E4">
      <w:pPr>
        <w:spacing w:after="0" w:line="360" w:lineRule="auto"/>
        <w:ind w:firstLine="708"/>
        <w:jc w:val="both"/>
        <w:rPr>
          <w:rFonts w:ascii="Times New Roman" w:hAnsi="Times New Roman"/>
          <w:sz w:val="24"/>
          <w:szCs w:val="24"/>
        </w:rPr>
      </w:pPr>
      <w:r w:rsidRPr="00964DA1">
        <w:rPr>
          <w:rFonts w:ascii="Times New Roman" w:hAnsi="Times New Roman"/>
          <w:sz w:val="24"/>
          <w:szCs w:val="24"/>
        </w:rPr>
        <w:t xml:space="preserve">Прекратена е дейността на ДП “Национална компания „Стратегически инфраструктурни проекти“ и правоприемник на дейността по изграждането на изключително важните обекти – автомагистрала „Хемус“, автомагистрала „Струма“ и автомагистрала „Черно море“ е Агенция „Пътна инфраструктура“. </w:t>
      </w:r>
    </w:p>
    <w:p w:rsidR="00787F38" w:rsidRPr="00964DA1" w:rsidRDefault="00787F38" w:rsidP="009126E4">
      <w:pPr>
        <w:spacing w:after="0" w:line="360" w:lineRule="auto"/>
        <w:ind w:firstLine="708"/>
        <w:jc w:val="both"/>
        <w:rPr>
          <w:rFonts w:ascii="Times New Roman" w:hAnsi="Times New Roman"/>
          <w:sz w:val="24"/>
          <w:szCs w:val="24"/>
        </w:rPr>
      </w:pPr>
      <w:r w:rsidRPr="00964DA1">
        <w:rPr>
          <w:rFonts w:ascii="Times New Roman" w:hAnsi="Times New Roman"/>
          <w:sz w:val="24"/>
          <w:szCs w:val="24"/>
        </w:rPr>
        <w:t>Заличено е „Научни изследвания по геодезия и фотограметрия“ ЕООД - в ликвидация, гр. София чрез вливане в „Научно-изследователски институт по строителни материали“ ЕООД, гр. София.</w:t>
      </w:r>
    </w:p>
    <w:p w:rsidR="00787F38" w:rsidRDefault="00787F38" w:rsidP="009126E4">
      <w:pPr>
        <w:spacing w:after="0" w:line="360" w:lineRule="auto"/>
        <w:ind w:firstLine="708"/>
        <w:jc w:val="both"/>
        <w:rPr>
          <w:rFonts w:ascii="Times New Roman" w:hAnsi="Times New Roman"/>
          <w:sz w:val="24"/>
          <w:szCs w:val="24"/>
        </w:rPr>
      </w:pPr>
      <w:r w:rsidRPr="00964DA1">
        <w:rPr>
          <w:rFonts w:ascii="Times New Roman" w:hAnsi="Times New Roman"/>
          <w:sz w:val="24"/>
          <w:szCs w:val="24"/>
        </w:rPr>
        <w:t>Във връзка с повишаване капацитета на „ФЛАГ“ ЕАД да съфинансира изграждането на инвестиционни проекти с бенефициенти общини, през 2015 г. е дадено съгласие за сключване на кредити с банкови институции общо в размер на 54 млн. лева и 20 млн. евро. През 2016 г. е предоставено разрешение за рефинансиране на дълга към ЕБВР в общ размер на 40 млн.лева и 20 млн. евро.</w:t>
      </w:r>
    </w:p>
    <w:p w:rsidR="00787F38" w:rsidRPr="00964DA1" w:rsidRDefault="00787F38" w:rsidP="007A51CB">
      <w:pPr>
        <w:spacing w:after="0" w:line="360" w:lineRule="auto"/>
        <w:jc w:val="both"/>
        <w:rPr>
          <w:rFonts w:ascii="Times New Roman" w:hAnsi="Times New Roman"/>
          <w:sz w:val="24"/>
          <w:szCs w:val="24"/>
        </w:rPr>
      </w:pPr>
    </w:p>
    <w:p w:rsidR="00787F38" w:rsidRPr="00964DA1" w:rsidRDefault="00787F38" w:rsidP="00594715">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sz w:val="24"/>
          <w:szCs w:val="24"/>
        </w:rPr>
      </w:pPr>
      <w:r w:rsidRPr="00964DA1">
        <w:rPr>
          <w:rFonts w:ascii="Times New Roman" w:hAnsi="Times New Roman"/>
          <w:b/>
          <w:sz w:val="24"/>
          <w:szCs w:val="24"/>
        </w:rPr>
        <w:t>Концесии</w:t>
      </w:r>
    </w:p>
    <w:p w:rsidR="00787F38" w:rsidRPr="00964DA1" w:rsidRDefault="00787F38" w:rsidP="00594715">
      <w:pPr>
        <w:pStyle w:val="ListParagraph"/>
        <w:spacing w:after="0" w:line="360" w:lineRule="auto"/>
        <w:jc w:val="both"/>
        <w:rPr>
          <w:rFonts w:ascii="Times New Roman" w:hAnsi="Times New Roman"/>
          <w:sz w:val="24"/>
          <w:szCs w:val="24"/>
        </w:rPr>
      </w:pPr>
    </w:p>
    <w:p w:rsidR="00787F38" w:rsidRPr="00964DA1" w:rsidRDefault="00787F38" w:rsidP="009B3983">
      <w:pPr>
        <w:spacing w:after="0" w:line="360" w:lineRule="auto"/>
        <w:ind w:firstLine="708"/>
        <w:jc w:val="both"/>
        <w:rPr>
          <w:rFonts w:ascii="Times New Roman" w:hAnsi="Times New Roman"/>
          <w:sz w:val="24"/>
          <w:szCs w:val="24"/>
        </w:rPr>
      </w:pPr>
      <w:r w:rsidRPr="00964DA1">
        <w:rPr>
          <w:rFonts w:ascii="Times New Roman" w:hAnsi="Times New Roman"/>
          <w:sz w:val="24"/>
          <w:szCs w:val="24"/>
        </w:rPr>
        <w:t>До м.</w:t>
      </w:r>
      <w:r>
        <w:rPr>
          <w:rFonts w:ascii="Times New Roman" w:hAnsi="Times New Roman"/>
          <w:sz w:val="24"/>
          <w:szCs w:val="24"/>
        </w:rPr>
        <w:t xml:space="preserve"> </w:t>
      </w:r>
      <w:r w:rsidRPr="00964DA1">
        <w:rPr>
          <w:rFonts w:ascii="Times New Roman" w:hAnsi="Times New Roman"/>
          <w:sz w:val="24"/>
          <w:szCs w:val="24"/>
        </w:rPr>
        <w:t>март 2016 г. дейностите по предоставяне на концесии и отдаване под наем на морските плажове се изпълняваха от Министерството на регионалното развитие и благоустройството. Съгласно приетите изменения в Закона за устройство на Черноморското крайбрежие тези функции вече са в компетенциите на Министерството на туризма.</w:t>
      </w:r>
    </w:p>
    <w:p w:rsidR="00787F38" w:rsidRPr="00964DA1" w:rsidRDefault="00787F38" w:rsidP="009B3983">
      <w:pPr>
        <w:spacing w:after="0" w:line="360" w:lineRule="auto"/>
        <w:ind w:firstLine="708"/>
        <w:jc w:val="both"/>
        <w:rPr>
          <w:rFonts w:ascii="Times New Roman" w:hAnsi="Times New Roman"/>
          <w:sz w:val="24"/>
          <w:szCs w:val="24"/>
        </w:rPr>
      </w:pPr>
      <w:r w:rsidRPr="00964DA1">
        <w:rPr>
          <w:rFonts w:ascii="Times New Roman" w:hAnsi="Times New Roman"/>
          <w:sz w:val="24"/>
          <w:szCs w:val="24"/>
        </w:rPr>
        <w:t>През 2015 г. и първо тримесечие 2016 г. са сключени 7 договора за концесия и 39 договора за отдаване под наем на морски плажове – обект изключителна държавна собственост.</w:t>
      </w:r>
    </w:p>
    <w:p w:rsidR="00787F38" w:rsidRPr="00964DA1" w:rsidRDefault="00787F38" w:rsidP="009B3983">
      <w:pPr>
        <w:spacing w:after="0" w:line="360" w:lineRule="auto"/>
        <w:ind w:firstLine="708"/>
        <w:jc w:val="both"/>
        <w:rPr>
          <w:rFonts w:ascii="Times New Roman" w:hAnsi="Times New Roman"/>
          <w:sz w:val="24"/>
          <w:szCs w:val="24"/>
        </w:rPr>
      </w:pPr>
      <w:r w:rsidRPr="00964DA1">
        <w:rPr>
          <w:rFonts w:ascii="Times New Roman" w:hAnsi="Times New Roman"/>
          <w:sz w:val="24"/>
          <w:szCs w:val="24"/>
        </w:rPr>
        <w:t>Извършени са 229 контролни проверки, в резултат на които са издадени 42 акта за административно нарушение.</w:t>
      </w:r>
    </w:p>
    <w:p w:rsidR="00787F38" w:rsidRPr="00964DA1" w:rsidRDefault="00787F38" w:rsidP="009B3983">
      <w:pPr>
        <w:spacing w:after="0" w:line="360" w:lineRule="auto"/>
        <w:ind w:firstLine="708"/>
        <w:jc w:val="both"/>
        <w:rPr>
          <w:rFonts w:ascii="Times New Roman" w:hAnsi="Times New Roman"/>
          <w:sz w:val="24"/>
          <w:szCs w:val="24"/>
        </w:rPr>
      </w:pPr>
      <w:r w:rsidRPr="00964DA1">
        <w:rPr>
          <w:rFonts w:ascii="Times New Roman" w:hAnsi="Times New Roman"/>
          <w:sz w:val="24"/>
          <w:szCs w:val="24"/>
        </w:rPr>
        <w:t>Постъпилите приходи от дейността са в размер на близо 16,5 млн. лв.</w:t>
      </w:r>
    </w:p>
    <w:p w:rsidR="00787F38" w:rsidRPr="00964DA1" w:rsidRDefault="00787F38" w:rsidP="009B3983">
      <w:pPr>
        <w:spacing w:after="0" w:line="360" w:lineRule="auto"/>
        <w:ind w:firstLine="708"/>
        <w:jc w:val="both"/>
        <w:rPr>
          <w:rFonts w:ascii="Times New Roman" w:hAnsi="Times New Roman"/>
          <w:sz w:val="24"/>
          <w:szCs w:val="24"/>
        </w:rPr>
      </w:pPr>
      <w:r w:rsidRPr="00964DA1">
        <w:rPr>
          <w:rFonts w:ascii="Times New Roman" w:hAnsi="Times New Roman"/>
          <w:sz w:val="24"/>
          <w:szCs w:val="24"/>
        </w:rPr>
        <w:t>В края на 2015 г. са подготвени и открити 15 процедури за предоставяне на концесии на морски пажове, но са прекратени предвид преминаването на дейността в компетенциите на Министерство на туризма, считано от м.</w:t>
      </w:r>
      <w:r>
        <w:rPr>
          <w:rFonts w:ascii="Times New Roman" w:hAnsi="Times New Roman"/>
          <w:sz w:val="24"/>
          <w:szCs w:val="24"/>
        </w:rPr>
        <w:t xml:space="preserve"> </w:t>
      </w:r>
      <w:r w:rsidRPr="00964DA1">
        <w:rPr>
          <w:rFonts w:ascii="Times New Roman" w:hAnsi="Times New Roman"/>
          <w:sz w:val="24"/>
          <w:szCs w:val="24"/>
        </w:rPr>
        <w:t>март 2016 г.</w:t>
      </w:r>
    </w:p>
    <w:p w:rsidR="00787F38" w:rsidRPr="00964DA1" w:rsidRDefault="00787F38" w:rsidP="009B3983">
      <w:pPr>
        <w:spacing w:after="0" w:line="360" w:lineRule="auto"/>
        <w:ind w:firstLine="708"/>
        <w:jc w:val="both"/>
        <w:rPr>
          <w:rFonts w:ascii="Times New Roman" w:hAnsi="Times New Roman"/>
          <w:sz w:val="24"/>
          <w:szCs w:val="24"/>
        </w:rPr>
      </w:pPr>
    </w:p>
    <w:p w:rsidR="00787F38" w:rsidRPr="00964DA1" w:rsidRDefault="00787F38" w:rsidP="009B3983">
      <w:pPr>
        <w:spacing w:after="0" w:line="360" w:lineRule="auto"/>
        <w:ind w:firstLine="708"/>
        <w:jc w:val="both"/>
        <w:rPr>
          <w:rFonts w:ascii="Times New Roman" w:hAnsi="Times New Roman"/>
          <w:sz w:val="24"/>
          <w:szCs w:val="24"/>
        </w:rPr>
      </w:pPr>
      <w:r w:rsidRPr="00964DA1">
        <w:rPr>
          <w:rFonts w:ascii="Times New Roman" w:hAnsi="Times New Roman"/>
          <w:sz w:val="24"/>
          <w:szCs w:val="24"/>
        </w:rPr>
        <w:t xml:space="preserve">В началото на мандата на правителството, само в срок от един месец беше </w:t>
      </w:r>
      <w:r w:rsidRPr="00964DA1">
        <w:rPr>
          <w:rFonts w:ascii="Times New Roman" w:hAnsi="Times New Roman"/>
          <w:b/>
          <w:sz w:val="24"/>
          <w:szCs w:val="24"/>
        </w:rPr>
        <w:t>успешно закрито Министерството на инвестиционното проектиране</w:t>
      </w:r>
      <w:r w:rsidRPr="00964DA1">
        <w:rPr>
          <w:rFonts w:ascii="Times New Roman" w:hAnsi="Times New Roman"/>
          <w:sz w:val="24"/>
          <w:szCs w:val="24"/>
        </w:rPr>
        <w:t xml:space="preserve">, като по този начин </w:t>
      </w:r>
      <w:r w:rsidRPr="00964DA1">
        <w:rPr>
          <w:rFonts w:ascii="Times New Roman" w:hAnsi="Times New Roman"/>
          <w:b/>
          <w:sz w:val="24"/>
          <w:szCs w:val="24"/>
        </w:rPr>
        <w:t>наследеното изкуствено разкъсване на функциите</w:t>
      </w:r>
      <w:r w:rsidRPr="00964DA1">
        <w:rPr>
          <w:rFonts w:ascii="Times New Roman" w:hAnsi="Times New Roman"/>
          <w:sz w:val="24"/>
          <w:szCs w:val="24"/>
        </w:rPr>
        <w:t xml:space="preserve"> между две министерства в осъществяването на държавната политика по устройство на територията, координирането на дейността на централните и териториалните органи на изпълнителна власт, на органите на местното самоуправление и местната администрация, и извършването на методическо ръководство и упражняване на контрол върху цялостната дейност по устройство на територията, по устройствено планиране, върху дейността на участниците в инвестиционния процес, както и на дейностите по разрешаване на строителството, приемането и въвеждането в експлоатация на готовите строежи, </w:t>
      </w:r>
      <w:r w:rsidRPr="00964DA1">
        <w:rPr>
          <w:rFonts w:ascii="Times New Roman" w:hAnsi="Times New Roman"/>
          <w:b/>
          <w:sz w:val="24"/>
          <w:szCs w:val="24"/>
        </w:rPr>
        <w:t>бе преустановено.</w:t>
      </w:r>
    </w:p>
    <w:p w:rsidR="00787F38" w:rsidRPr="00571079" w:rsidRDefault="00787F38">
      <w:pPr>
        <w:spacing w:after="0" w:line="360" w:lineRule="auto"/>
        <w:ind w:firstLine="708"/>
        <w:jc w:val="both"/>
        <w:rPr>
          <w:rFonts w:ascii="Times New Roman" w:hAnsi="Times New Roman"/>
          <w:sz w:val="24"/>
          <w:szCs w:val="24"/>
          <w:lang w:val="ru-RU"/>
        </w:rPr>
      </w:pPr>
    </w:p>
    <w:p w:rsidR="00787F38" w:rsidRPr="00BA2AC4" w:rsidRDefault="00787F38" w:rsidP="00BA2AC4">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sz w:val="24"/>
          <w:szCs w:val="24"/>
        </w:rPr>
      </w:pPr>
      <w:r>
        <w:rPr>
          <w:rFonts w:ascii="Times New Roman" w:hAnsi="Times New Roman"/>
          <w:b/>
          <w:sz w:val="24"/>
          <w:szCs w:val="24"/>
        </w:rPr>
        <w:t>Нормотворческа дейност</w:t>
      </w:r>
    </w:p>
    <w:p w:rsidR="00787F38" w:rsidRDefault="00787F38" w:rsidP="006E2EA5">
      <w:pPr>
        <w:spacing w:after="0" w:line="360" w:lineRule="auto"/>
        <w:ind w:firstLine="708"/>
        <w:jc w:val="both"/>
        <w:rPr>
          <w:rFonts w:ascii="Times New Roman" w:hAnsi="Times New Roman"/>
          <w:sz w:val="24"/>
          <w:szCs w:val="24"/>
        </w:rPr>
      </w:pPr>
    </w:p>
    <w:p w:rsidR="00787F38" w:rsidRPr="006E2EA5" w:rsidRDefault="00787F38" w:rsidP="006E2EA5">
      <w:pPr>
        <w:spacing w:after="0" w:line="360" w:lineRule="auto"/>
        <w:ind w:firstLine="708"/>
        <w:jc w:val="both"/>
        <w:rPr>
          <w:rFonts w:ascii="Times New Roman" w:hAnsi="Times New Roman"/>
          <w:sz w:val="24"/>
          <w:szCs w:val="24"/>
        </w:rPr>
      </w:pPr>
      <w:r w:rsidRPr="00556B65">
        <w:rPr>
          <w:rFonts w:ascii="Times New Roman" w:hAnsi="Times New Roman"/>
          <w:sz w:val="24"/>
          <w:szCs w:val="24"/>
        </w:rPr>
        <w:t>Министерство</w:t>
      </w:r>
      <w:r>
        <w:rPr>
          <w:rFonts w:ascii="Times New Roman" w:hAnsi="Times New Roman"/>
          <w:sz w:val="24"/>
          <w:szCs w:val="24"/>
        </w:rPr>
        <w:t>то</w:t>
      </w:r>
      <w:r w:rsidRPr="00556B65">
        <w:rPr>
          <w:rFonts w:ascii="Times New Roman" w:hAnsi="Times New Roman"/>
          <w:sz w:val="24"/>
          <w:szCs w:val="24"/>
        </w:rPr>
        <w:t xml:space="preserve"> на регионалното развитие и благоустройството </w:t>
      </w:r>
      <w:r w:rsidRPr="006E2EA5">
        <w:rPr>
          <w:rFonts w:ascii="Times New Roman" w:hAnsi="Times New Roman"/>
          <w:sz w:val="24"/>
          <w:szCs w:val="24"/>
        </w:rPr>
        <w:t>участва активно в законодателния процес</w:t>
      </w:r>
      <w:r>
        <w:rPr>
          <w:rFonts w:ascii="Times New Roman" w:hAnsi="Times New Roman"/>
          <w:sz w:val="24"/>
          <w:szCs w:val="24"/>
        </w:rPr>
        <w:t xml:space="preserve"> в страната с близо 20</w:t>
      </w:r>
      <w:r w:rsidRPr="006E2EA5">
        <w:rPr>
          <w:rFonts w:ascii="Times New Roman" w:hAnsi="Times New Roman"/>
          <w:sz w:val="24"/>
          <w:szCs w:val="24"/>
        </w:rPr>
        <w:t xml:space="preserve"> законодател</w:t>
      </w:r>
      <w:r>
        <w:rPr>
          <w:rFonts w:ascii="Times New Roman" w:hAnsi="Times New Roman"/>
          <w:sz w:val="24"/>
          <w:szCs w:val="24"/>
        </w:rPr>
        <w:t>ни</w:t>
      </w:r>
      <w:r w:rsidRPr="006E2EA5">
        <w:rPr>
          <w:rFonts w:ascii="Times New Roman" w:hAnsi="Times New Roman"/>
          <w:sz w:val="24"/>
          <w:szCs w:val="24"/>
        </w:rPr>
        <w:t xml:space="preserve"> инициативи</w:t>
      </w:r>
      <w:r>
        <w:rPr>
          <w:rFonts w:ascii="Times New Roman" w:hAnsi="Times New Roman"/>
          <w:sz w:val="24"/>
          <w:szCs w:val="24"/>
        </w:rPr>
        <w:t>, които адресират реални предизвикателства пред хората и бизнеса. 19 от проектите вече са приети от Народното събрание, като законопроектите за и</w:t>
      </w:r>
      <w:r w:rsidRPr="006E2EA5">
        <w:rPr>
          <w:rFonts w:ascii="Times New Roman" w:hAnsi="Times New Roman"/>
          <w:sz w:val="24"/>
          <w:szCs w:val="24"/>
        </w:rPr>
        <w:t xml:space="preserve">зменение и допълнение на </w:t>
      </w:r>
      <w:r>
        <w:rPr>
          <w:rFonts w:ascii="Times New Roman" w:hAnsi="Times New Roman"/>
          <w:sz w:val="24"/>
          <w:szCs w:val="24"/>
        </w:rPr>
        <w:t xml:space="preserve">Закона за устройство на територията, на </w:t>
      </w:r>
      <w:r w:rsidRPr="006E2EA5">
        <w:rPr>
          <w:rFonts w:ascii="Times New Roman" w:hAnsi="Times New Roman"/>
          <w:sz w:val="24"/>
          <w:szCs w:val="24"/>
        </w:rPr>
        <w:t xml:space="preserve">Закона за кадастъра и имотния регистър, на Закона за пътищата, </w:t>
      </w:r>
      <w:r>
        <w:rPr>
          <w:rFonts w:ascii="Times New Roman" w:hAnsi="Times New Roman"/>
          <w:sz w:val="24"/>
          <w:szCs w:val="24"/>
        </w:rPr>
        <w:t xml:space="preserve">на Закона за държавната собственост, </w:t>
      </w:r>
      <w:r w:rsidRPr="006E2EA5">
        <w:rPr>
          <w:rFonts w:ascii="Times New Roman" w:hAnsi="Times New Roman"/>
          <w:sz w:val="24"/>
          <w:szCs w:val="24"/>
        </w:rPr>
        <w:t>на Закона за гражданската регистрация,</w:t>
      </w:r>
      <w:r w:rsidRPr="00A66DCE">
        <w:t xml:space="preserve"> </w:t>
      </w:r>
      <w:r>
        <w:rPr>
          <w:rFonts w:ascii="Times New Roman" w:hAnsi="Times New Roman"/>
          <w:sz w:val="24"/>
          <w:szCs w:val="24"/>
        </w:rPr>
        <w:t xml:space="preserve">на Закона за регионалното развитие, </w:t>
      </w:r>
      <w:r w:rsidRPr="00A66DCE">
        <w:rPr>
          <w:rFonts w:ascii="Times New Roman" w:hAnsi="Times New Roman"/>
          <w:sz w:val="24"/>
          <w:szCs w:val="24"/>
        </w:rPr>
        <w:t>на Закона за управление на етажната собственост</w:t>
      </w:r>
      <w:r>
        <w:rPr>
          <w:rFonts w:ascii="Times New Roman" w:hAnsi="Times New Roman"/>
          <w:sz w:val="24"/>
          <w:szCs w:val="24"/>
        </w:rPr>
        <w:t>,</w:t>
      </w:r>
      <w:r w:rsidRPr="006E2EA5">
        <w:rPr>
          <w:rFonts w:ascii="Times New Roman" w:hAnsi="Times New Roman"/>
          <w:sz w:val="24"/>
          <w:szCs w:val="24"/>
        </w:rPr>
        <w:t xml:space="preserve"> на Закона за собствеността и др</w:t>
      </w:r>
      <w:r>
        <w:rPr>
          <w:rFonts w:ascii="Times New Roman" w:hAnsi="Times New Roman"/>
          <w:sz w:val="24"/>
          <w:szCs w:val="24"/>
        </w:rPr>
        <w:t xml:space="preserve">. Разработените и приети </w:t>
      </w:r>
      <w:r w:rsidRPr="00C77192">
        <w:rPr>
          <w:rFonts w:ascii="Times New Roman" w:hAnsi="Times New Roman"/>
          <w:sz w:val="24"/>
          <w:szCs w:val="24"/>
        </w:rPr>
        <w:t>подзаконови нормативни акт</w:t>
      </w:r>
      <w:r>
        <w:rPr>
          <w:rFonts w:ascii="Times New Roman" w:hAnsi="Times New Roman"/>
          <w:sz w:val="24"/>
          <w:szCs w:val="24"/>
        </w:rPr>
        <w:t>ове са близо 80 и покриват всички области на експертиза на МРРБ в т.ч. т</w:t>
      </w:r>
      <w:r w:rsidRPr="00282C53">
        <w:rPr>
          <w:rFonts w:ascii="Times New Roman" w:hAnsi="Times New Roman"/>
          <w:sz w:val="24"/>
          <w:szCs w:val="24"/>
        </w:rPr>
        <w:t>ехнически</w:t>
      </w:r>
      <w:r>
        <w:rPr>
          <w:rFonts w:ascii="Times New Roman" w:hAnsi="Times New Roman"/>
          <w:sz w:val="24"/>
          <w:szCs w:val="24"/>
        </w:rPr>
        <w:t>те</w:t>
      </w:r>
      <w:r w:rsidRPr="00282C53">
        <w:rPr>
          <w:rFonts w:ascii="Times New Roman" w:hAnsi="Times New Roman"/>
          <w:sz w:val="24"/>
          <w:szCs w:val="24"/>
        </w:rPr>
        <w:t xml:space="preserve"> правила и норми</w:t>
      </w:r>
      <w:r>
        <w:rPr>
          <w:rFonts w:ascii="Times New Roman" w:hAnsi="Times New Roman"/>
          <w:sz w:val="24"/>
          <w:szCs w:val="24"/>
        </w:rPr>
        <w:t xml:space="preserve"> при строителството и въвеждането на европейските изисквания в областта, безопасност и </w:t>
      </w:r>
      <w:r w:rsidRPr="00282C53">
        <w:rPr>
          <w:rFonts w:ascii="Times New Roman" w:hAnsi="Times New Roman"/>
          <w:sz w:val="24"/>
          <w:szCs w:val="24"/>
        </w:rPr>
        <w:t>сигнализация на пътищата, енергийна</w:t>
      </w:r>
      <w:r>
        <w:rPr>
          <w:rFonts w:ascii="Times New Roman" w:hAnsi="Times New Roman"/>
          <w:sz w:val="24"/>
          <w:szCs w:val="24"/>
        </w:rPr>
        <w:t>та</w:t>
      </w:r>
      <w:r w:rsidRPr="00282C53">
        <w:rPr>
          <w:rFonts w:ascii="Times New Roman" w:hAnsi="Times New Roman"/>
          <w:sz w:val="24"/>
          <w:szCs w:val="24"/>
        </w:rPr>
        <w:t xml:space="preserve"> ефективност на сгради</w:t>
      </w:r>
      <w:r>
        <w:rPr>
          <w:rFonts w:ascii="Times New Roman" w:hAnsi="Times New Roman"/>
          <w:sz w:val="24"/>
          <w:szCs w:val="24"/>
        </w:rPr>
        <w:t>те,</w:t>
      </w:r>
      <w:r w:rsidRPr="00282C53">
        <w:rPr>
          <w:rFonts w:ascii="Times New Roman" w:hAnsi="Times New Roman"/>
          <w:sz w:val="24"/>
          <w:szCs w:val="24"/>
        </w:rPr>
        <w:t xml:space="preserve"> предоставяне</w:t>
      </w:r>
      <w:r>
        <w:rPr>
          <w:rFonts w:ascii="Times New Roman" w:hAnsi="Times New Roman"/>
          <w:sz w:val="24"/>
          <w:szCs w:val="24"/>
        </w:rPr>
        <w:t>то</w:t>
      </w:r>
      <w:r w:rsidRPr="00282C53">
        <w:rPr>
          <w:rFonts w:ascii="Times New Roman" w:hAnsi="Times New Roman"/>
          <w:sz w:val="24"/>
          <w:szCs w:val="24"/>
        </w:rPr>
        <w:t xml:space="preserve"> на услуги от кадастралната карта и кадастралните регистри, </w:t>
      </w:r>
      <w:r>
        <w:rPr>
          <w:rFonts w:ascii="Times New Roman" w:hAnsi="Times New Roman"/>
          <w:sz w:val="24"/>
          <w:szCs w:val="24"/>
        </w:rPr>
        <w:t>г</w:t>
      </w:r>
      <w:r w:rsidRPr="00282C53">
        <w:rPr>
          <w:rFonts w:ascii="Times New Roman" w:hAnsi="Times New Roman"/>
          <w:sz w:val="24"/>
          <w:szCs w:val="24"/>
        </w:rPr>
        <w:t>ражданска</w:t>
      </w:r>
      <w:r>
        <w:rPr>
          <w:rFonts w:ascii="Times New Roman" w:hAnsi="Times New Roman"/>
          <w:sz w:val="24"/>
          <w:szCs w:val="24"/>
        </w:rPr>
        <w:t>та</w:t>
      </w:r>
      <w:r w:rsidRPr="00282C53">
        <w:rPr>
          <w:rFonts w:ascii="Times New Roman" w:hAnsi="Times New Roman"/>
          <w:sz w:val="24"/>
          <w:szCs w:val="24"/>
        </w:rPr>
        <w:t xml:space="preserve"> регистрация и административно обслужване</w:t>
      </w:r>
      <w:r>
        <w:rPr>
          <w:rFonts w:ascii="Times New Roman" w:hAnsi="Times New Roman"/>
          <w:sz w:val="24"/>
          <w:szCs w:val="24"/>
        </w:rPr>
        <w:t xml:space="preserve"> и др. </w:t>
      </w:r>
    </w:p>
    <w:sectPr w:rsidR="00787F38" w:rsidRPr="006E2EA5" w:rsidSect="0090056F">
      <w:headerReference w:type="default" r:id="rId8"/>
      <w:footerReference w:type="default" r:id="rId9"/>
      <w:pgSz w:w="11906" w:h="16838"/>
      <w:pgMar w:top="1417" w:right="1417" w:bottom="1417" w:left="1417" w:header="454" w:footer="34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6E2" w:rsidRDefault="000106E2" w:rsidP="0090056F">
      <w:pPr>
        <w:spacing w:after="0" w:line="240" w:lineRule="auto"/>
      </w:pPr>
      <w:r>
        <w:separator/>
      </w:r>
    </w:p>
  </w:endnote>
  <w:endnote w:type="continuationSeparator" w:id="0">
    <w:p w:rsidR="000106E2" w:rsidRDefault="000106E2" w:rsidP="00900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F38" w:rsidRPr="00C1518C" w:rsidRDefault="004F3A95">
    <w:pPr>
      <w:pStyle w:val="Footer"/>
      <w:jc w:val="right"/>
      <w:rPr>
        <w:rFonts w:ascii="Times New Roman" w:hAnsi="Times New Roman"/>
        <w:sz w:val="24"/>
        <w:szCs w:val="24"/>
      </w:rPr>
    </w:pPr>
    <w:r w:rsidRPr="00C1518C">
      <w:rPr>
        <w:rFonts w:ascii="Times New Roman" w:hAnsi="Times New Roman"/>
        <w:sz w:val="24"/>
        <w:szCs w:val="24"/>
      </w:rPr>
      <w:fldChar w:fldCharType="begin"/>
    </w:r>
    <w:r w:rsidRPr="00C1518C">
      <w:rPr>
        <w:rFonts w:ascii="Times New Roman" w:hAnsi="Times New Roman"/>
        <w:sz w:val="24"/>
        <w:szCs w:val="24"/>
      </w:rPr>
      <w:instrText>PAGE   \* MERGEFORMAT</w:instrText>
    </w:r>
    <w:r w:rsidRPr="00C1518C">
      <w:rPr>
        <w:rFonts w:ascii="Times New Roman" w:hAnsi="Times New Roman"/>
        <w:sz w:val="24"/>
        <w:szCs w:val="24"/>
      </w:rPr>
      <w:fldChar w:fldCharType="separate"/>
    </w:r>
    <w:r w:rsidR="0062019A">
      <w:rPr>
        <w:rFonts w:ascii="Times New Roman" w:hAnsi="Times New Roman"/>
        <w:noProof/>
        <w:sz w:val="24"/>
        <w:szCs w:val="24"/>
      </w:rPr>
      <w:t>13</w:t>
    </w:r>
    <w:r w:rsidRPr="00C1518C">
      <w:rPr>
        <w:rFonts w:ascii="Times New Roman" w:hAnsi="Times New Roman"/>
        <w:noProof/>
        <w:sz w:val="24"/>
        <w:szCs w:val="24"/>
      </w:rPr>
      <w:fldChar w:fldCharType="end"/>
    </w:r>
  </w:p>
  <w:p w:rsidR="00787F38" w:rsidRDefault="00787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6E2" w:rsidRDefault="000106E2" w:rsidP="0090056F">
      <w:pPr>
        <w:spacing w:after="0" w:line="240" w:lineRule="auto"/>
      </w:pPr>
      <w:r>
        <w:separator/>
      </w:r>
    </w:p>
  </w:footnote>
  <w:footnote w:type="continuationSeparator" w:id="0">
    <w:p w:rsidR="000106E2" w:rsidRDefault="000106E2" w:rsidP="00900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F38" w:rsidRDefault="00787F38" w:rsidP="008955AD">
    <w:pPr>
      <w:pStyle w:val="Header"/>
      <w:jc w:val="right"/>
      <w:rPr>
        <w:rFonts w:ascii="Times New Roman" w:hAnsi="Times New Roman"/>
        <w:b/>
        <w:sz w:val="20"/>
        <w:szCs w:val="20"/>
      </w:rPr>
    </w:pPr>
    <w:r w:rsidRPr="008955AD">
      <w:rPr>
        <w:rFonts w:ascii="Times New Roman" w:hAnsi="Times New Roman"/>
        <w:b/>
        <w:sz w:val="20"/>
        <w:szCs w:val="20"/>
      </w:rPr>
      <w:t xml:space="preserve">Отчет на Министерството на регионалното развитие и благоустройството </w:t>
    </w:r>
  </w:p>
  <w:p w:rsidR="00787F38" w:rsidRPr="008955AD" w:rsidRDefault="00787F38" w:rsidP="008955AD">
    <w:pPr>
      <w:pStyle w:val="Header"/>
      <w:jc w:val="right"/>
      <w:rPr>
        <w:rFonts w:ascii="Times New Roman" w:hAnsi="Times New Roman"/>
        <w:b/>
        <w:sz w:val="20"/>
        <w:szCs w:val="20"/>
      </w:rPr>
    </w:pPr>
    <w:r w:rsidRPr="008955AD">
      <w:rPr>
        <w:rFonts w:ascii="Times New Roman" w:hAnsi="Times New Roman"/>
        <w:b/>
        <w:sz w:val="20"/>
        <w:szCs w:val="20"/>
      </w:rPr>
      <w:t>2014 – 2017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3FF5"/>
    <w:multiLevelType w:val="hybridMultilevel"/>
    <w:tmpl w:val="ACEEB148"/>
    <w:lvl w:ilvl="0" w:tplc="2E5CF7CE">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BB72CD1"/>
    <w:multiLevelType w:val="hybridMultilevel"/>
    <w:tmpl w:val="F28A5660"/>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hint="default"/>
      </w:rPr>
    </w:lvl>
    <w:lvl w:ilvl="2" w:tplc="04020005">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nsid w:val="0F333885"/>
    <w:multiLevelType w:val="hybridMultilevel"/>
    <w:tmpl w:val="DC88EB5E"/>
    <w:lvl w:ilvl="0" w:tplc="533CAA82">
      <w:start w:val="430"/>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108056C"/>
    <w:multiLevelType w:val="hybridMultilevel"/>
    <w:tmpl w:val="3CD65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A0184"/>
    <w:multiLevelType w:val="hybridMultilevel"/>
    <w:tmpl w:val="BC800FE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62365D1"/>
    <w:multiLevelType w:val="hybridMultilevel"/>
    <w:tmpl w:val="84C84E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D7994"/>
    <w:multiLevelType w:val="hybridMultilevel"/>
    <w:tmpl w:val="FEFCA76A"/>
    <w:lvl w:ilvl="0" w:tplc="DC7E7E20">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1A5D28F9"/>
    <w:multiLevelType w:val="hybridMultilevel"/>
    <w:tmpl w:val="42947380"/>
    <w:lvl w:ilvl="0" w:tplc="0409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E3929C9"/>
    <w:multiLevelType w:val="hybridMultilevel"/>
    <w:tmpl w:val="81E806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802CA7"/>
    <w:multiLevelType w:val="hybridMultilevel"/>
    <w:tmpl w:val="91142560"/>
    <w:lvl w:ilvl="0" w:tplc="49386894">
      <w:start w:val="1"/>
      <w:numFmt w:val="bullet"/>
      <w:lvlText w:val=""/>
      <w:lvlJc w:val="left"/>
      <w:pPr>
        <w:ind w:left="360" w:hanging="360"/>
      </w:pPr>
      <w:rPr>
        <w:rFonts w:ascii="Symbol" w:hAnsi="Symbol" w:hint="default"/>
      </w:rPr>
    </w:lvl>
    <w:lvl w:ilvl="1" w:tplc="04020003">
      <w:start w:val="1"/>
      <w:numFmt w:val="bullet"/>
      <w:lvlText w:val="o"/>
      <w:lvlJc w:val="left"/>
      <w:pPr>
        <w:ind w:left="786"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0">
    <w:nsid w:val="2F370C09"/>
    <w:multiLevelType w:val="hybridMultilevel"/>
    <w:tmpl w:val="B010CA26"/>
    <w:lvl w:ilvl="0" w:tplc="DC7E7E20">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hint="default"/>
      </w:rPr>
    </w:lvl>
    <w:lvl w:ilvl="8" w:tplc="04020005">
      <w:start w:val="1"/>
      <w:numFmt w:val="bullet"/>
      <w:lvlText w:val=""/>
      <w:lvlJc w:val="left"/>
      <w:pPr>
        <w:ind w:left="7189" w:hanging="360"/>
      </w:pPr>
      <w:rPr>
        <w:rFonts w:ascii="Wingdings" w:hAnsi="Wingdings" w:hint="default"/>
      </w:rPr>
    </w:lvl>
  </w:abstractNum>
  <w:abstractNum w:abstractNumId="11">
    <w:nsid w:val="2F922EBD"/>
    <w:multiLevelType w:val="hybridMultilevel"/>
    <w:tmpl w:val="88B054C4"/>
    <w:lvl w:ilvl="0" w:tplc="2E5CF7CE">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FB5412A"/>
    <w:multiLevelType w:val="hybridMultilevel"/>
    <w:tmpl w:val="51EA074C"/>
    <w:lvl w:ilvl="0" w:tplc="DC7E7E20">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3474E67"/>
    <w:multiLevelType w:val="hybridMultilevel"/>
    <w:tmpl w:val="351CCAE4"/>
    <w:lvl w:ilvl="0" w:tplc="2E5CF7CE">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37A540D"/>
    <w:multiLevelType w:val="hybridMultilevel"/>
    <w:tmpl w:val="654C6C82"/>
    <w:lvl w:ilvl="0" w:tplc="2E5CF7CE">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3791DF7"/>
    <w:multiLevelType w:val="hybridMultilevel"/>
    <w:tmpl w:val="859895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7A35B4F"/>
    <w:multiLevelType w:val="hybridMultilevel"/>
    <w:tmpl w:val="6606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B71414"/>
    <w:multiLevelType w:val="hybridMultilevel"/>
    <w:tmpl w:val="BE1A7D26"/>
    <w:lvl w:ilvl="0" w:tplc="91EA61EA">
      <w:numFmt w:val="bullet"/>
      <w:lvlText w:val="-"/>
      <w:lvlJc w:val="left"/>
      <w:pPr>
        <w:ind w:left="1069" w:hanging="360"/>
      </w:pPr>
      <w:rPr>
        <w:rFonts w:ascii="Times New Roman" w:eastAsia="Times New Roman" w:hAnsi="Times New Roman" w:hint="default"/>
        <w:b/>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60CB21E6"/>
    <w:multiLevelType w:val="hybridMultilevel"/>
    <w:tmpl w:val="E76A916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nsid w:val="62163BB0"/>
    <w:multiLevelType w:val="hybridMultilevel"/>
    <w:tmpl w:val="C8BC64AC"/>
    <w:lvl w:ilvl="0" w:tplc="E3143C26">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nsid w:val="67B66FB4"/>
    <w:multiLevelType w:val="hybridMultilevel"/>
    <w:tmpl w:val="5852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A34B8"/>
    <w:multiLevelType w:val="hybridMultilevel"/>
    <w:tmpl w:val="55D8AA58"/>
    <w:lvl w:ilvl="0" w:tplc="2E5CF7CE">
      <w:numFmt w:val="bullet"/>
      <w:lvlText w:val="-"/>
      <w:lvlJc w:val="left"/>
      <w:pPr>
        <w:ind w:left="720" w:hanging="360"/>
      </w:pPr>
      <w:rPr>
        <w:rFonts w:ascii="Times New Roman" w:eastAsia="Times New Roman" w:hAnsi="Times New Roman" w:hint="default"/>
      </w:rPr>
    </w:lvl>
    <w:lvl w:ilvl="1" w:tplc="04090005">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70C57764"/>
    <w:multiLevelType w:val="hybridMultilevel"/>
    <w:tmpl w:val="FC362994"/>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hint="default"/>
      </w:rPr>
    </w:lvl>
    <w:lvl w:ilvl="8" w:tplc="04020005">
      <w:start w:val="1"/>
      <w:numFmt w:val="bullet"/>
      <w:lvlText w:val=""/>
      <w:lvlJc w:val="left"/>
      <w:pPr>
        <w:ind w:left="6120" w:hanging="360"/>
      </w:pPr>
      <w:rPr>
        <w:rFonts w:ascii="Wingdings" w:hAnsi="Wingdings" w:hint="default"/>
      </w:rPr>
    </w:lvl>
  </w:abstractNum>
  <w:abstractNum w:abstractNumId="23">
    <w:nsid w:val="71DC4F9C"/>
    <w:multiLevelType w:val="hybridMultilevel"/>
    <w:tmpl w:val="C0D68D40"/>
    <w:lvl w:ilvl="0" w:tplc="2E5CF7CE">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2394127"/>
    <w:multiLevelType w:val="hybridMultilevel"/>
    <w:tmpl w:val="92B825EA"/>
    <w:lvl w:ilvl="0" w:tplc="DC7E7E20">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hint="default"/>
      </w:rPr>
    </w:lvl>
    <w:lvl w:ilvl="8" w:tplc="04020005">
      <w:start w:val="1"/>
      <w:numFmt w:val="bullet"/>
      <w:lvlText w:val=""/>
      <w:lvlJc w:val="left"/>
      <w:pPr>
        <w:ind w:left="7189" w:hanging="360"/>
      </w:pPr>
      <w:rPr>
        <w:rFonts w:ascii="Wingdings" w:hAnsi="Wingdings" w:hint="default"/>
      </w:rPr>
    </w:lvl>
  </w:abstractNum>
  <w:abstractNum w:abstractNumId="25">
    <w:nsid w:val="767A7AA9"/>
    <w:multiLevelType w:val="hybridMultilevel"/>
    <w:tmpl w:val="E166A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19"/>
  </w:num>
  <w:num w:numId="6">
    <w:abstractNumId w:val="0"/>
  </w:num>
  <w:num w:numId="7">
    <w:abstractNumId w:val="11"/>
  </w:num>
  <w:num w:numId="8">
    <w:abstractNumId w:val="22"/>
  </w:num>
  <w:num w:numId="9">
    <w:abstractNumId w:val="17"/>
  </w:num>
  <w:num w:numId="10">
    <w:abstractNumId w:val="13"/>
  </w:num>
  <w:num w:numId="11">
    <w:abstractNumId w:val="23"/>
  </w:num>
  <w:num w:numId="12">
    <w:abstractNumId w:val="14"/>
  </w:num>
  <w:num w:numId="13">
    <w:abstractNumId w:val="12"/>
  </w:num>
  <w:num w:numId="14">
    <w:abstractNumId w:val="24"/>
  </w:num>
  <w:num w:numId="15">
    <w:abstractNumId w:val="18"/>
  </w:num>
  <w:num w:numId="16">
    <w:abstractNumId w:val="20"/>
  </w:num>
  <w:num w:numId="17">
    <w:abstractNumId w:val="0"/>
  </w:num>
  <w:num w:numId="18">
    <w:abstractNumId w:val="11"/>
  </w:num>
  <w:num w:numId="19">
    <w:abstractNumId w:val="10"/>
  </w:num>
  <w:num w:numId="20">
    <w:abstractNumId w:val="6"/>
  </w:num>
  <w:num w:numId="21">
    <w:abstractNumId w:val="25"/>
  </w:num>
  <w:num w:numId="22">
    <w:abstractNumId w:val="20"/>
  </w:num>
  <w:num w:numId="23">
    <w:abstractNumId w:val="25"/>
  </w:num>
  <w:num w:numId="24">
    <w:abstractNumId w:val="7"/>
  </w:num>
  <w:num w:numId="25">
    <w:abstractNumId w:val="8"/>
  </w:num>
  <w:num w:numId="26">
    <w:abstractNumId w:val="3"/>
  </w:num>
  <w:num w:numId="27">
    <w:abstractNumId w:val="16"/>
  </w:num>
  <w:num w:numId="28">
    <w:abstractNumId w:val="5"/>
  </w:num>
  <w:num w:numId="29">
    <w:abstractNumId w:val="2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E5"/>
    <w:rsid w:val="00000A2F"/>
    <w:rsid w:val="00002BD6"/>
    <w:rsid w:val="000106E2"/>
    <w:rsid w:val="00023914"/>
    <w:rsid w:val="00037A99"/>
    <w:rsid w:val="000430D5"/>
    <w:rsid w:val="0005035B"/>
    <w:rsid w:val="00050A6F"/>
    <w:rsid w:val="00051B6D"/>
    <w:rsid w:val="00054D07"/>
    <w:rsid w:val="00054FCA"/>
    <w:rsid w:val="000727BA"/>
    <w:rsid w:val="0009522B"/>
    <w:rsid w:val="000A2F70"/>
    <w:rsid w:val="000B3AC8"/>
    <w:rsid w:val="000C0BB4"/>
    <w:rsid w:val="000C6F48"/>
    <w:rsid w:val="000E6ED8"/>
    <w:rsid w:val="001240A2"/>
    <w:rsid w:val="001310F9"/>
    <w:rsid w:val="00134817"/>
    <w:rsid w:val="00137BE3"/>
    <w:rsid w:val="00151AD1"/>
    <w:rsid w:val="0015401D"/>
    <w:rsid w:val="001816C4"/>
    <w:rsid w:val="001A1C1D"/>
    <w:rsid w:val="001B253A"/>
    <w:rsid w:val="001B3F94"/>
    <w:rsid w:val="001B7856"/>
    <w:rsid w:val="001C3F4E"/>
    <w:rsid w:val="001C7AED"/>
    <w:rsid w:val="001D41A2"/>
    <w:rsid w:val="001D5CF0"/>
    <w:rsid w:val="0021030E"/>
    <w:rsid w:val="00230DFD"/>
    <w:rsid w:val="00237A20"/>
    <w:rsid w:val="002443A6"/>
    <w:rsid w:val="00251192"/>
    <w:rsid w:val="00273D73"/>
    <w:rsid w:val="00282C53"/>
    <w:rsid w:val="00297F58"/>
    <w:rsid w:val="002A130B"/>
    <w:rsid w:val="002B2742"/>
    <w:rsid w:val="002B2888"/>
    <w:rsid w:val="002D4F1E"/>
    <w:rsid w:val="002D5948"/>
    <w:rsid w:val="002E09B0"/>
    <w:rsid w:val="002E5AA1"/>
    <w:rsid w:val="002E6A80"/>
    <w:rsid w:val="00304E72"/>
    <w:rsid w:val="0031004D"/>
    <w:rsid w:val="00313A66"/>
    <w:rsid w:val="00331B86"/>
    <w:rsid w:val="003335F5"/>
    <w:rsid w:val="00336DAD"/>
    <w:rsid w:val="003650BD"/>
    <w:rsid w:val="00367E16"/>
    <w:rsid w:val="003B4266"/>
    <w:rsid w:val="004024AA"/>
    <w:rsid w:val="00410988"/>
    <w:rsid w:val="00410C1F"/>
    <w:rsid w:val="0045620F"/>
    <w:rsid w:val="00460F7F"/>
    <w:rsid w:val="004635D2"/>
    <w:rsid w:val="004751CF"/>
    <w:rsid w:val="00492D8B"/>
    <w:rsid w:val="004A453D"/>
    <w:rsid w:val="004B2BCF"/>
    <w:rsid w:val="004B6145"/>
    <w:rsid w:val="004F3A95"/>
    <w:rsid w:val="00506DF2"/>
    <w:rsid w:val="0052521F"/>
    <w:rsid w:val="0053386C"/>
    <w:rsid w:val="00534561"/>
    <w:rsid w:val="00535774"/>
    <w:rsid w:val="0054088C"/>
    <w:rsid w:val="0054656A"/>
    <w:rsid w:val="005505AA"/>
    <w:rsid w:val="00556B65"/>
    <w:rsid w:val="00571079"/>
    <w:rsid w:val="00572D19"/>
    <w:rsid w:val="00584ED6"/>
    <w:rsid w:val="00594715"/>
    <w:rsid w:val="005A36C4"/>
    <w:rsid w:val="005B0369"/>
    <w:rsid w:val="005B0724"/>
    <w:rsid w:val="005B780A"/>
    <w:rsid w:val="005C2547"/>
    <w:rsid w:val="005D150F"/>
    <w:rsid w:val="005D3049"/>
    <w:rsid w:val="005D40A5"/>
    <w:rsid w:val="005E2451"/>
    <w:rsid w:val="00616036"/>
    <w:rsid w:val="0062019A"/>
    <w:rsid w:val="0062106E"/>
    <w:rsid w:val="006312DC"/>
    <w:rsid w:val="006340A5"/>
    <w:rsid w:val="00646ADB"/>
    <w:rsid w:val="00657276"/>
    <w:rsid w:val="00662DDB"/>
    <w:rsid w:val="00664CFF"/>
    <w:rsid w:val="0066545F"/>
    <w:rsid w:val="00666AF4"/>
    <w:rsid w:val="0067605E"/>
    <w:rsid w:val="006C17F5"/>
    <w:rsid w:val="006C3202"/>
    <w:rsid w:val="006D5409"/>
    <w:rsid w:val="006E16AF"/>
    <w:rsid w:val="006E2EA5"/>
    <w:rsid w:val="006F04B8"/>
    <w:rsid w:val="00705263"/>
    <w:rsid w:val="00710E7B"/>
    <w:rsid w:val="00712EA4"/>
    <w:rsid w:val="0072000E"/>
    <w:rsid w:val="00720CE5"/>
    <w:rsid w:val="00731652"/>
    <w:rsid w:val="00733F50"/>
    <w:rsid w:val="00736457"/>
    <w:rsid w:val="00751553"/>
    <w:rsid w:val="007573B2"/>
    <w:rsid w:val="00773412"/>
    <w:rsid w:val="0078592F"/>
    <w:rsid w:val="00786A8C"/>
    <w:rsid w:val="00787F38"/>
    <w:rsid w:val="00796EBA"/>
    <w:rsid w:val="007A019F"/>
    <w:rsid w:val="007A51CB"/>
    <w:rsid w:val="007B2633"/>
    <w:rsid w:val="007B3E68"/>
    <w:rsid w:val="007B5D9C"/>
    <w:rsid w:val="007C22C2"/>
    <w:rsid w:val="007D7F25"/>
    <w:rsid w:val="007E0C99"/>
    <w:rsid w:val="007E4CC8"/>
    <w:rsid w:val="007F2543"/>
    <w:rsid w:val="007F4085"/>
    <w:rsid w:val="007F755E"/>
    <w:rsid w:val="0081246E"/>
    <w:rsid w:val="0081562C"/>
    <w:rsid w:val="00827049"/>
    <w:rsid w:val="008541E4"/>
    <w:rsid w:val="00862E02"/>
    <w:rsid w:val="0086635C"/>
    <w:rsid w:val="00867B48"/>
    <w:rsid w:val="00872A73"/>
    <w:rsid w:val="00892CB3"/>
    <w:rsid w:val="008955AD"/>
    <w:rsid w:val="00895D5E"/>
    <w:rsid w:val="008B0BC1"/>
    <w:rsid w:val="008B570F"/>
    <w:rsid w:val="008B749D"/>
    <w:rsid w:val="008C6CF8"/>
    <w:rsid w:val="008D18C1"/>
    <w:rsid w:val="008D551F"/>
    <w:rsid w:val="008E5FE1"/>
    <w:rsid w:val="008E771F"/>
    <w:rsid w:val="008F1EE6"/>
    <w:rsid w:val="008F3AAF"/>
    <w:rsid w:val="0090056F"/>
    <w:rsid w:val="009126E4"/>
    <w:rsid w:val="00931980"/>
    <w:rsid w:val="00940CEB"/>
    <w:rsid w:val="00946DFE"/>
    <w:rsid w:val="00951FE7"/>
    <w:rsid w:val="00964DA1"/>
    <w:rsid w:val="009914E5"/>
    <w:rsid w:val="009915B2"/>
    <w:rsid w:val="009B3983"/>
    <w:rsid w:val="009B4475"/>
    <w:rsid w:val="009E0356"/>
    <w:rsid w:val="009E731F"/>
    <w:rsid w:val="009F3EB2"/>
    <w:rsid w:val="00A0219B"/>
    <w:rsid w:val="00A24A45"/>
    <w:rsid w:val="00A3603F"/>
    <w:rsid w:val="00A567A1"/>
    <w:rsid w:val="00A6471C"/>
    <w:rsid w:val="00A66DCE"/>
    <w:rsid w:val="00A85E42"/>
    <w:rsid w:val="00A86799"/>
    <w:rsid w:val="00A94B3E"/>
    <w:rsid w:val="00A975BB"/>
    <w:rsid w:val="00AB2DCE"/>
    <w:rsid w:val="00AB45AC"/>
    <w:rsid w:val="00AD2B7D"/>
    <w:rsid w:val="00AD54D6"/>
    <w:rsid w:val="00AD5FD3"/>
    <w:rsid w:val="00AE2AE7"/>
    <w:rsid w:val="00AE3413"/>
    <w:rsid w:val="00AE6F33"/>
    <w:rsid w:val="00AF0D09"/>
    <w:rsid w:val="00AF464B"/>
    <w:rsid w:val="00AF6399"/>
    <w:rsid w:val="00AF7FDF"/>
    <w:rsid w:val="00B03409"/>
    <w:rsid w:val="00B611C2"/>
    <w:rsid w:val="00B613BD"/>
    <w:rsid w:val="00B623FB"/>
    <w:rsid w:val="00B6280A"/>
    <w:rsid w:val="00B771CA"/>
    <w:rsid w:val="00BA2603"/>
    <w:rsid w:val="00BA2AC4"/>
    <w:rsid w:val="00BC1CA0"/>
    <w:rsid w:val="00BC60C8"/>
    <w:rsid w:val="00BD0B98"/>
    <w:rsid w:val="00BD3D03"/>
    <w:rsid w:val="00BE092D"/>
    <w:rsid w:val="00BE5FE3"/>
    <w:rsid w:val="00BE69C2"/>
    <w:rsid w:val="00C04268"/>
    <w:rsid w:val="00C1518C"/>
    <w:rsid w:val="00C2008D"/>
    <w:rsid w:val="00C2447D"/>
    <w:rsid w:val="00C32302"/>
    <w:rsid w:val="00C41CD9"/>
    <w:rsid w:val="00C554C5"/>
    <w:rsid w:val="00C56659"/>
    <w:rsid w:val="00C647AB"/>
    <w:rsid w:val="00C77192"/>
    <w:rsid w:val="00C83358"/>
    <w:rsid w:val="00CA230D"/>
    <w:rsid w:val="00CA6EBC"/>
    <w:rsid w:val="00CB370D"/>
    <w:rsid w:val="00CB7CF4"/>
    <w:rsid w:val="00CD3BB1"/>
    <w:rsid w:val="00CD4F87"/>
    <w:rsid w:val="00CD6003"/>
    <w:rsid w:val="00CE6411"/>
    <w:rsid w:val="00CE7F5E"/>
    <w:rsid w:val="00CF0102"/>
    <w:rsid w:val="00CF162B"/>
    <w:rsid w:val="00CF3C80"/>
    <w:rsid w:val="00D148D8"/>
    <w:rsid w:val="00D161CF"/>
    <w:rsid w:val="00D176A6"/>
    <w:rsid w:val="00D21245"/>
    <w:rsid w:val="00D21D1F"/>
    <w:rsid w:val="00D36643"/>
    <w:rsid w:val="00D544A8"/>
    <w:rsid w:val="00D67E0F"/>
    <w:rsid w:val="00D74BDB"/>
    <w:rsid w:val="00D9347B"/>
    <w:rsid w:val="00D954B4"/>
    <w:rsid w:val="00DB21A8"/>
    <w:rsid w:val="00DB22EA"/>
    <w:rsid w:val="00DB510E"/>
    <w:rsid w:val="00DC4FA3"/>
    <w:rsid w:val="00DD1CB2"/>
    <w:rsid w:val="00DE425D"/>
    <w:rsid w:val="00DF4894"/>
    <w:rsid w:val="00E31B6F"/>
    <w:rsid w:val="00E31BB5"/>
    <w:rsid w:val="00E5201D"/>
    <w:rsid w:val="00E559E2"/>
    <w:rsid w:val="00E6715D"/>
    <w:rsid w:val="00E707A0"/>
    <w:rsid w:val="00E865DA"/>
    <w:rsid w:val="00E95D86"/>
    <w:rsid w:val="00EA509A"/>
    <w:rsid w:val="00EA667E"/>
    <w:rsid w:val="00EA767C"/>
    <w:rsid w:val="00EB725A"/>
    <w:rsid w:val="00ED23D3"/>
    <w:rsid w:val="00ED6781"/>
    <w:rsid w:val="00EE2272"/>
    <w:rsid w:val="00F01724"/>
    <w:rsid w:val="00F0658B"/>
    <w:rsid w:val="00F12BA6"/>
    <w:rsid w:val="00F15D7A"/>
    <w:rsid w:val="00F16D59"/>
    <w:rsid w:val="00F2490D"/>
    <w:rsid w:val="00F26B22"/>
    <w:rsid w:val="00F3656B"/>
    <w:rsid w:val="00F47E63"/>
    <w:rsid w:val="00F51C10"/>
    <w:rsid w:val="00F61704"/>
    <w:rsid w:val="00F63802"/>
    <w:rsid w:val="00F66C48"/>
    <w:rsid w:val="00F92060"/>
    <w:rsid w:val="00F94943"/>
    <w:rsid w:val="00F96C4D"/>
    <w:rsid w:val="00FA3FBC"/>
    <w:rsid w:val="00FA710C"/>
    <w:rsid w:val="00FB7766"/>
    <w:rsid w:val="00FC0472"/>
    <w:rsid w:val="00FD5BF3"/>
    <w:rsid w:val="00FE1E4A"/>
    <w:rsid w:val="00FE3D49"/>
    <w:rsid w:val="00FE7160"/>
    <w:rsid w:val="00FE7F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8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BA2603"/>
    <w:pPr>
      <w:widowControl w:val="0"/>
      <w:suppressAutoHyphens/>
      <w:autoSpaceDN w:val="0"/>
      <w:textAlignment w:val="baseline"/>
    </w:pPr>
    <w:rPr>
      <w:rFonts w:ascii="Times New Roman" w:eastAsia="Times New Roman" w:hAnsi="Times New Roman"/>
      <w:kern w:val="3"/>
      <w:sz w:val="24"/>
      <w:szCs w:val="20"/>
      <w:lang w:eastAsia="zh-CN" w:bidi="hi-IN"/>
    </w:rPr>
  </w:style>
  <w:style w:type="paragraph" w:styleId="ListParagraph">
    <w:name w:val="List Paragraph"/>
    <w:basedOn w:val="Normal"/>
    <w:link w:val="ListParagraphChar"/>
    <w:uiPriority w:val="99"/>
    <w:qFormat/>
    <w:rsid w:val="009F3EB2"/>
    <w:pPr>
      <w:ind w:left="720"/>
      <w:contextualSpacing/>
    </w:pPr>
  </w:style>
  <w:style w:type="character" w:customStyle="1" w:styleId="ListParagraphChar">
    <w:name w:val="List Paragraph Char"/>
    <w:link w:val="ListParagraph"/>
    <w:uiPriority w:val="99"/>
    <w:locked/>
    <w:rsid w:val="00A94B3E"/>
  </w:style>
  <w:style w:type="paragraph" w:styleId="Header">
    <w:name w:val="header"/>
    <w:basedOn w:val="Normal"/>
    <w:link w:val="HeaderChar"/>
    <w:uiPriority w:val="99"/>
    <w:rsid w:val="0090056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0056F"/>
    <w:rPr>
      <w:rFonts w:cs="Times New Roman"/>
    </w:rPr>
  </w:style>
  <w:style w:type="paragraph" w:styleId="Footer">
    <w:name w:val="footer"/>
    <w:basedOn w:val="Normal"/>
    <w:link w:val="FooterChar"/>
    <w:uiPriority w:val="99"/>
    <w:rsid w:val="0090056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0056F"/>
    <w:rPr>
      <w:rFonts w:cs="Times New Roman"/>
    </w:rPr>
  </w:style>
  <w:style w:type="character" w:styleId="CommentReference">
    <w:name w:val="annotation reference"/>
    <w:basedOn w:val="DefaultParagraphFont"/>
    <w:uiPriority w:val="99"/>
    <w:semiHidden/>
    <w:rsid w:val="00535774"/>
    <w:rPr>
      <w:rFonts w:cs="Times New Roman"/>
      <w:sz w:val="16"/>
      <w:szCs w:val="16"/>
    </w:rPr>
  </w:style>
  <w:style w:type="paragraph" w:styleId="CommentText">
    <w:name w:val="annotation text"/>
    <w:basedOn w:val="Normal"/>
    <w:link w:val="CommentTextChar"/>
    <w:uiPriority w:val="99"/>
    <w:semiHidden/>
    <w:rsid w:val="0053577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35774"/>
    <w:rPr>
      <w:rFonts w:cs="Times New Roman"/>
      <w:sz w:val="20"/>
      <w:szCs w:val="20"/>
    </w:rPr>
  </w:style>
  <w:style w:type="paragraph" w:styleId="CommentSubject">
    <w:name w:val="annotation subject"/>
    <w:basedOn w:val="CommentText"/>
    <w:next w:val="CommentText"/>
    <w:link w:val="CommentSubjectChar"/>
    <w:uiPriority w:val="99"/>
    <w:semiHidden/>
    <w:rsid w:val="00535774"/>
    <w:rPr>
      <w:b/>
      <w:bCs/>
    </w:rPr>
  </w:style>
  <w:style w:type="character" w:customStyle="1" w:styleId="CommentSubjectChar">
    <w:name w:val="Comment Subject Char"/>
    <w:basedOn w:val="CommentTextChar"/>
    <w:link w:val="CommentSubject"/>
    <w:uiPriority w:val="99"/>
    <w:semiHidden/>
    <w:locked/>
    <w:rsid w:val="00535774"/>
    <w:rPr>
      <w:rFonts w:cs="Times New Roman"/>
      <w:b/>
      <w:bCs/>
      <w:sz w:val="20"/>
      <w:szCs w:val="20"/>
    </w:rPr>
  </w:style>
  <w:style w:type="paragraph" w:styleId="BalloonText">
    <w:name w:val="Balloon Text"/>
    <w:basedOn w:val="Normal"/>
    <w:link w:val="BalloonTextChar"/>
    <w:uiPriority w:val="99"/>
    <w:semiHidden/>
    <w:rsid w:val="00535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5774"/>
    <w:rPr>
      <w:rFonts w:ascii="Tahoma" w:hAnsi="Tahoma" w:cs="Tahoma"/>
      <w:sz w:val="16"/>
      <w:szCs w:val="16"/>
    </w:rPr>
  </w:style>
  <w:style w:type="paragraph" w:styleId="FootnoteText">
    <w:name w:val="footnote text"/>
    <w:basedOn w:val="Normal"/>
    <w:link w:val="FootnoteTextChar"/>
    <w:uiPriority w:val="99"/>
    <w:semiHidden/>
    <w:rsid w:val="007A019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A019F"/>
    <w:rPr>
      <w:rFonts w:cs="Times New Roman"/>
      <w:sz w:val="20"/>
      <w:szCs w:val="20"/>
      <w:lang w:eastAsia="en-US"/>
    </w:rPr>
  </w:style>
  <w:style w:type="character" w:styleId="FootnoteReference">
    <w:name w:val="footnote reference"/>
    <w:basedOn w:val="DefaultParagraphFont"/>
    <w:uiPriority w:val="99"/>
    <w:semiHidden/>
    <w:rsid w:val="007A019F"/>
    <w:rPr>
      <w:rFonts w:cs="Times New Roman"/>
      <w:vertAlign w:val="superscript"/>
    </w:rPr>
  </w:style>
  <w:style w:type="character" w:styleId="Emphasis">
    <w:name w:val="Emphasis"/>
    <w:basedOn w:val="DefaultParagraphFont"/>
    <w:uiPriority w:val="99"/>
    <w:qFormat/>
    <w:locked/>
    <w:rsid w:val="00BA2AC4"/>
    <w:rPr>
      <w:rFonts w:cs="Times New Roman"/>
      <w:b/>
      <w:bCs/>
    </w:rPr>
  </w:style>
  <w:style w:type="character" w:customStyle="1" w:styleId="st1">
    <w:name w:val="st1"/>
    <w:basedOn w:val="DefaultParagraphFont"/>
    <w:uiPriority w:val="99"/>
    <w:rsid w:val="00BA2AC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8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BA2603"/>
    <w:pPr>
      <w:widowControl w:val="0"/>
      <w:suppressAutoHyphens/>
      <w:autoSpaceDN w:val="0"/>
      <w:textAlignment w:val="baseline"/>
    </w:pPr>
    <w:rPr>
      <w:rFonts w:ascii="Times New Roman" w:eastAsia="Times New Roman" w:hAnsi="Times New Roman"/>
      <w:kern w:val="3"/>
      <w:sz w:val="24"/>
      <w:szCs w:val="20"/>
      <w:lang w:eastAsia="zh-CN" w:bidi="hi-IN"/>
    </w:rPr>
  </w:style>
  <w:style w:type="paragraph" w:styleId="ListParagraph">
    <w:name w:val="List Paragraph"/>
    <w:basedOn w:val="Normal"/>
    <w:link w:val="ListParagraphChar"/>
    <w:uiPriority w:val="99"/>
    <w:qFormat/>
    <w:rsid w:val="009F3EB2"/>
    <w:pPr>
      <w:ind w:left="720"/>
      <w:contextualSpacing/>
    </w:pPr>
  </w:style>
  <w:style w:type="character" w:customStyle="1" w:styleId="ListParagraphChar">
    <w:name w:val="List Paragraph Char"/>
    <w:link w:val="ListParagraph"/>
    <w:uiPriority w:val="99"/>
    <w:locked/>
    <w:rsid w:val="00A94B3E"/>
  </w:style>
  <w:style w:type="paragraph" w:styleId="Header">
    <w:name w:val="header"/>
    <w:basedOn w:val="Normal"/>
    <w:link w:val="HeaderChar"/>
    <w:uiPriority w:val="99"/>
    <w:rsid w:val="0090056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0056F"/>
    <w:rPr>
      <w:rFonts w:cs="Times New Roman"/>
    </w:rPr>
  </w:style>
  <w:style w:type="paragraph" w:styleId="Footer">
    <w:name w:val="footer"/>
    <w:basedOn w:val="Normal"/>
    <w:link w:val="FooterChar"/>
    <w:uiPriority w:val="99"/>
    <w:rsid w:val="0090056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0056F"/>
    <w:rPr>
      <w:rFonts w:cs="Times New Roman"/>
    </w:rPr>
  </w:style>
  <w:style w:type="character" w:styleId="CommentReference">
    <w:name w:val="annotation reference"/>
    <w:basedOn w:val="DefaultParagraphFont"/>
    <w:uiPriority w:val="99"/>
    <w:semiHidden/>
    <w:rsid w:val="00535774"/>
    <w:rPr>
      <w:rFonts w:cs="Times New Roman"/>
      <w:sz w:val="16"/>
      <w:szCs w:val="16"/>
    </w:rPr>
  </w:style>
  <w:style w:type="paragraph" w:styleId="CommentText">
    <w:name w:val="annotation text"/>
    <w:basedOn w:val="Normal"/>
    <w:link w:val="CommentTextChar"/>
    <w:uiPriority w:val="99"/>
    <w:semiHidden/>
    <w:rsid w:val="0053577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35774"/>
    <w:rPr>
      <w:rFonts w:cs="Times New Roman"/>
      <w:sz w:val="20"/>
      <w:szCs w:val="20"/>
    </w:rPr>
  </w:style>
  <w:style w:type="paragraph" w:styleId="CommentSubject">
    <w:name w:val="annotation subject"/>
    <w:basedOn w:val="CommentText"/>
    <w:next w:val="CommentText"/>
    <w:link w:val="CommentSubjectChar"/>
    <w:uiPriority w:val="99"/>
    <w:semiHidden/>
    <w:rsid w:val="00535774"/>
    <w:rPr>
      <w:b/>
      <w:bCs/>
    </w:rPr>
  </w:style>
  <w:style w:type="character" w:customStyle="1" w:styleId="CommentSubjectChar">
    <w:name w:val="Comment Subject Char"/>
    <w:basedOn w:val="CommentTextChar"/>
    <w:link w:val="CommentSubject"/>
    <w:uiPriority w:val="99"/>
    <w:semiHidden/>
    <w:locked/>
    <w:rsid w:val="00535774"/>
    <w:rPr>
      <w:rFonts w:cs="Times New Roman"/>
      <w:b/>
      <w:bCs/>
      <w:sz w:val="20"/>
      <w:szCs w:val="20"/>
    </w:rPr>
  </w:style>
  <w:style w:type="paragraph" w:styleId="BalloonText">
    <w:name w:val="Balloon Text"/>
    <w:basedOn w:val="Normal"/>
    <w:link w:val="BalloonTextChar"/>
    <w:uiPriority w:val="99"/>
    <w:semiHidden/>
    <w:rsid w:val="00535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5774"/>
    <w:rPr>
      <w:rFonts w:ascii="Tahoma" w:hAnsi="Tahoma" w:cs="Tahoma"/>
      <w:sz w:val="16"/>
      <w:szCs w:val="16"/>
    </w:rPr>
  </w:style>
  <w:style w:type="paragraph" w:styleId="FootnoteText">
    <w:name w:val="footnote text"/>
    <w:basedOn w:val="Normal"/>
    <w:link w:val="FootnoteTextChar"/>
    <w:uiPriority w:val="99"/>
    <w:semiHidden/>
    <w:rsid w:val="007A019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A019F"/>
    <w:rPr>
      <w:rFonts w:cs="Times New Roman"/>
      <w:sz w:val="20"/>
      <w:szCs w:val="20"/>
      <w:lang w:eastAsia="en-US"/>
    </w:rPr>
  </w:style>
  <w:style w:type="character" w:styleId="FootnoteReference">
    <w:name w:val="footnote reference"/>
    <w:basedOn w:val="DefaultParagraphFont"/>
    <w:uiPriority w:val="99"/>
    <w:semiHidden/>
    <w:rsid w:val="007A019F"/>
    <w:rPr>
      <w:rFonts w:cs="Times New Roman"/>
      <w:vertAlign w:val="superscript"/>
    </w:rPr>
  </w:style>
  <w:style w:type="character" w:styleId="Emphasis">
    <w:name w:val="Emphasis"/>
    <w:basedOn w:val="DefaultParagraphFont"/>
    <w:uiPriority w:val="99"/>
    <w:qFormat/>
    <w:locked/>
    <w:rsid w:val="00BA2AC4"/>
    <w:rPr>
      <w:rFonts w:cs="Times New Roman"/>
      <w:b/>
      <w:bCs/>
    </w:rPr>
  </w:style>
  <w:style w:type="character" w:customStyle="1" w:styleId="st1">
    <w:name w:val="st1"/>
    <w:basedOn w:val="DefaultParagraphFont"/>
    <w:uiPriority w:val="99"/>
    <w:rsid w:val="00BA2A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5154">
      <w:marLeft w:val="0"/>
      <w:marRight w:val="0"/>
      <w:marTop w:val="0"/>
      <w:marBottom w:val="0"/>
      <w:divBdr>
        <w:top w:val="none" w:sz="0" w:space="0" w:color="auto"/>
        <w:left w:val="none" w:sz="0" w:space="0" w:color="auto"/>
        <w:bottom w:val="none" w:sz="0" w:space="0" w:color="auto"/>
        <w:right w:val="none" w:sz="0" w:space="0" w:color="auto"/>
      </w:divBdr>
    </w:div>
    <w:div w:id="261035155">
      <w:marLeft w:val="0"/>
      <w:marRight w:val="0"/>
      <w:marTop w:val="0"/>
      <w:marBottom w:val="0"/>
      <w:divBdr>
        <w:top w:val="none" w:sz="0" w:space="0" w:color="auto"/>
        <w:left w:val="none" w:sz="0" w:space="0" w:color="auto"/>
        <w:bottom w:val="none" w:sz="0" w:space="0" w:color="auto"/>
        <w:right w:val="none" w:sz="0" w:space="0" w:color="auto"/>
      </w:divBdr>
    </w:div>
    <w:div w:id="261035156">
      <w:marLeft w:val="0"/>
      <w:marRight w:val="0"/>
      <w:marTop w:val="0"/>
      <w:marBottom w:val="0"/>
      <w:divBdr>
        <w:top w:val="none" w:sz="0" w:space="0" w:color="auto"/>
        <w:left w:val="none" w:sz="0" w:space="0" w:color="auto"/>
        <w:bottom w:val="none" w:sz="0" w:space="0" w:color="auto"/>
        <w:right w:val="none" w:sz="0" w:space="0" w:color="auto"/>
      </w:divBdr>
    </w:div>
    <w:div w:id="261035157">
      <w:marLeft w:val="0"/>
      <w:marRight w:val="0"/>
      <w:marTop w:val="0"/>
      <w:marBottom w:val="0"/>
      <w:divBdr>
        <w:top w:val="none" w:sz="0" w:space="0" w:color="auto"/>
        <w:left w:val="none" w:sz="0" w:space="0" w:color="auto"/>
        <w:bottom w:val="none" w:sz="0" w:space="0" w:color="auto"/>
        <w:right w:val="none" w:sz="0" w:space="0" w:color="auto"/>
      </w:divBdr>
    </w:div>
    <w:div w:id="261035158">
      <w:marLeft w:val="0"/>
      <w:marRight w:val="0"/>
      <w:marTop w:val="0"/>
      <w:marBottom w:val="0"/>
      <w:divBdr>
        <w:top w:val="none" w:sz="0" w:space="0" w:color="auto"/>
        <w:left w:val="none" w:sz="0" w:space="0" w:color="auto"/>
        <w:bottom w:val="none" w:sz="0" w:space="0" w:color="auto"/>
        <w:right w:val="none" w:sz="0" w:space="0" w:color="auto"/>
      </w:divBdr>
    </w:div>
    <w:div w:id="261035159">
      <w:marLeft w:val="0"/>
      <w:marRight w:val="0"/>
      <w:marTop w:val="0"/>
      <w:marBottom w:val="0"/>
      <w:divBdr>
        <w:top w:val="none" w:sz="0" w:space="0" w:color="auto"/>
        <w:left w:val="none" w:sz="0" w:space="0" w:color="auto"/>
        <w:bottom w:val="none" w:sz="0" w:space="0" w:color="auto"/>
        <w:right w:val="none" w:sz="0" w:space="0" w:color="auto"/>
      </w:divBdr>
    </w:div>
    <w:div w:id="261035160">
      <w:marLeft w:val="0"/>
      <w:marRight w:val="0"/>
      <w:marTop w:val="0"/>
      <w:marBottom w:val="0"/>
      <w:divBdr>
        <w:top w:val="none" w:sz="0" w:space="0" w:color="auto"/>
        <w:left w:val="none" w:sz="0" w:space="0" w:color="auto"/>
        <w:bottom w:val="none" w:sz="0" w:space="0" w:color="auto"/>
        <w:right w:val="none" w:sz="0" w:space="0" w:color="auto"/>
      </w:divBdr>
    </w:div>
    <w:div w:id="261035161">
      <w:marLeft w:val="0"/>
      <w:marRight w:val="0"/>
      <w:marTop w:val="0"/>
      <w:marBottom w:val="0"/>
      <w:divBdr>
        <w:top w:val="none" w:sz="0" w:space="0" w:color="auto"/>
        <w:left w:val="none" w:sz="0" w:space="0" w:color="auto"/>
        <w:bottom w:val="none" w:sz="0" w:space="0" w:color="auto"/>
        <w:right w:val="none" w:sz="0" w:space="0" w:color="auto"/>
      </w:divBdr>
    </w:div>
    <w:div w:id="261035162">
      <w:marLeft w:val="0"/>
      <w:marRight w:val="0"/>
      <w:marTop w:val="0"/>
      <w:marBottom w:val="0"/>
      <w:divBdr>
        <w:top w:val="none" w:sz="0" w:space="0" w:color="auto"/>
        <w:left w:val="none" w:sz="0" w:space="0" w:color="auto"/>
        <w:bottom w:val="none" w:sz="0" w:space="0" w:color="auto"/>
        <w:right w:val="none" w:sz="0" w:space="0" w:color="auto"/>
      </w:divBdr>
    </w:div>
    <w:div w:id="261035163">
      <w:marLeft w:val="0"/>
      <w:marRight w:val="0"/>
      <w:marTop w:val="0"/>
      <w:marBottom w:val="0"/>
      <w:divBdr>
        <w:top w:val="none" w:sz="0" w:space="0" w:color="auto"/>
        <w:left w:val="none" w:sz="0" w:space="0" w:color="auto"/>
        <w:bottom w:val="none" w:sz="0" w:space="0" w:color="auto"/>
        <w:right w:val="none" w:sz="0" w:space="0" w:color="auto"/>
      </w:divBdr>
    </w:div>
    <w:div w:id="261035164">
      <w:marLeft w:val="0"/>
      <w:marRight w:val="0"/>
      <w:marTop w:val="0"/>
      <w:marBottom w:val="0"/>
      <w:divBdr>
        <w:top w:val="none" w:sz="0" w:space="0" w:color="auto"/>
        <w:left w:val="none" w:sz="0" w:space="0" w:color="auto"/>
        <w:bottom w:val="none" w:sz="0" w:space="0" w:color="auto"/>
        <w:right w:val="none" w:sz="0" w:space="0" w:color="auto"/>
      </w:divBdr>
    </w:div>
    <w:div w:id="261035165">
      <w:marLeft w:val="0"/>
      <w:marRight w:val="0"/>
      <w:marTop w:val="0"/>
      <w:marBottom w:val="0"/>
      <w:divBdr>
        <w:top w:val="none" w:sz="0" w:space="0" w:color="auto"/>
        <w:left w:val="none" w:sz="0" w:space="0" w:color="auto"/>
        <w:bottom w:val="none" w:sz="0" w:space="0" w:color="auto"/>
        <w:right w:val="none" w:sz="0" w:space="0" w:color="auto"/>
      </w:divBdr>
    </w:div>
    <w:div w:id="261035166">
      <w:marLeft w:val="0"/>
      <w:marRight w:val="0"/>
      <w:marTop w:val="0"/>
      <w:marBottom w:val="0"/>
      <w:divBdr>
        <w:top w:val="none" w:sz="0" w:space="0" w:color="auto"/>
        <w:left w:val="none" w:sz="0" w:space="0" w:color="auto"/>
        <w:bottom w:val="none" w:sz="0" w:space="0" w:color="auto"/>
        <w:right w:val="none" w:sz="0" w:space="0" w:color="auto"/>
      </w:divBdr>
    </w:div>
    <w:div w:id="261035167">
      <w:marLeft w:val="0"/>
      <w:marRight w:val="0"/>
      <w:marTop w:val="0"/>
      <w:marBottom w:val="0"/>
      <w:divBdr>
        <w:top w:val="none" w:sz="0" w:space="0" w:color="auto"/>
        <w:left w:val="none" w:sz="0" w:space="0" w:color="auto"/>
        <w:bottom w:val="none" w:sz="0" w:space="0" w:color="auto"/>
        <w:right w:val="none" w:sz="0" w:space="0" w:color="auto"/>
      </w:divBdr>
    </w:div>
    <w:div w:id="261035168">
      <w:marLeft w:val="0"/>
      <w:marRight w:val="0"/>
      <w:marTop w:val="0"/>
      <w:marBottom w:val="0"/>
      <w:divBdr>
        <w:top w:val="none" w:sz="0" w:space="0" w:color="auto"/>
        <w:left w:val="none" w:sz="0" w:space="0" w:color="auto"/>
        <w:bottom w:val="none" w:sz="0" w:space="0" w:color="auto"/>
        <w:right w:val="none" w:sz="0" w:space="0" w:color="auto"/>
      </w:divBdr>
    </w:div>
    <w:div w:id="261035169">
      <w:marLeft w:val="0"/>
      <w:marRight w:val="0"/>
      <w:marTop w:val="0"/>
      <w:marBottom w:val="0"/>
      <w:divBdr>
        <w:top w:val="none" w:sz="0" w:space="0" w:color="auto"/>
        <w:left w:val="none" w:sz="0" w:space="0" w:color="auto"/>
        <w:bottom w:val="none" w:sz="0" w:space="0" w:color="auto"/>
        <w:right w:val="none" w:sz="0" w:space="0" w:color="auto"/>
      </w:divBdr>
    </w:div>
    <w:div w:id="261035170">
      <w:marLeft w:val="0"/>
      <w:marRight w:val="0"/>
      <w:marTop w:val="0"/>
      <w:marBottom w:val="0"/>
      <w:divBdr>
        <w:top w:val="none" w:sz="0" w:space="0" w:color="auto"/>
        <w:left w:val="none" w:sz="0" w:space="0" w:color="auto"/>
        <w:bottom w:val="none" w:sz="0" w:space="0" w:color="auto"/>
        <w:right w:val="none" w:sz="0" w:space="0" w:color="auto"/>
      </w:divBdr>
    </w:div>
    <w:div w:id="404839039">
      <w:bodyDiv w:val="1"/>
      <w:marLeft w:val="0"/>
      <w:marRight w:val="0"/>
      <w:marTop w:val="0"/>
      <w:marBottom w:val="0"/>
      <w:divBdr>
        <w:top w:val="none" w:sz="0" w:space="0" w:color="auto"/>
        <w:left w:val="none" w:sz="0" w:space="0" w:color="auto"/>
        <w:bottom w:val="none" w:sz="0" w:space="0" w:color="auto"/>
        <w:right w:val="none" w:sz="0" w:space="0" w:color="auto"/>
      </w:divBdr>
    </w:div>
    <w:div w:id="185383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6373</Words>
  <Characters>36328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Отчет за дейността на Министерството на регионалното развитие и благоустройството от м</vt:lpstr>
    </vt:vector>
  </TitlesOfParts>
  <Company/>
  <LinksUpToDate>false</LinksUpToDate>
  <CharactersWithSpaces>42616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за дейността на Министерството на регионалното развитие и благоустройството от м</dc:title>
  <dc:creator>Daniela Georgieva</dc:creator>
  <cp:lastModifiedBy>Daniela Georgieva</cp:lastModifiedBy>
  <cp:revision>2</cp:revision>
  <cp:lastPrinted>2017-01-27T08:31:00Z</cp:lastPrinted>
  <dcterms:created xsi:type="dcterms:W3CDTF">2017-01-27T08:38:00Z</dcterms:created>
  <dcterms:modified xsi:type="dcterms:W3CDTF">2017-01-27T08:38:00Z</dcterms:modified>
</cp:coreProperties>
</file>